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B6B0D" w14:textId="77777777" w:rsidR="00A56BE8" w:rsidRPr="00891CE8" w:rsidRDefault="00A56BE8" w:rsidP="00A56BE8">
      <w:pPr>
        <w:jc w:val="both"/>
        <w:rPr>
          <w:rFonts w:ascii="Cambria" w:hAnsi="Cambria" w:cstheme="minorHAnsi"/>
          <w:szCs w:val="22"/>
        </w:rPr>
      </w:pPr>
      <w:r w:rsidRPr="00891CE8">
        <w:rPr>
          <w:rFonts w:ascii="Cambria" w:hAnsi="Cambria" w:cstheme="minorHAnsi"/>
          <w:noProof/>
          <w:szCs w:val="22"/>
        </w:rPr>
        <w:drawing>
          <wp:anchor distT="0" distB="0" distL="114300" distR="114300" simplePos="0" relativeHeight="251659264" behindDoc="0" locked="0" layoutInCell="1" hidden="0" allowOverlap="1" wp14:anchorId="66CA080A" wp14:editId="6FA36416">
            <wp:simplePos x="0" y="0"/>
            <wp:positionH relativeFrom="margin">
              <wp:posOffset>-243840</wp:posOffset>
            </wp:positionH>
            <wp:positionV relativeFrom="paragraph">
              <wp:posOffset>-457200</wp:posOffset>
            </wp:positionV>
            <wp:extent cx="6583680" cy="1188720"/>
            <wp:effectExtent l="0" t="0" r="762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583680" cy="1188720"/>
                    </a:xfrm>
                    <a:prstGeom prst="rect">
                      <a:avLst/>
                    </a:prstGeom>
                    <a:ln/>
                  </pic:spPr>
                </pic:pic>
              </a:graphicData>
            </a:graphic>
            <wp14:sizeRelH relativeFrom="margin">
              <wp14:pctWidth>0</wp14:pctWidth>
            </wp14:sizeRelH>
            <wp14:sizeRelV relativeFrom="margin">
              <wp14:pctHeight>0</wp14:pctHeight>
            </wp14:sizeRelV>
          </wp:anchor>
        </w:drawing>
      </w:r>
    </w:p>
    <w:p w14:paraId="18B68D5E" w14:textId="77777777" w:rsidR="00A56BE8" w:rsidRPr="00891CE8" w:rsidRDefault="00A56BE8" w:rsidP="00A56BE8">
      <w:pPr>
        <w:jc w:val="both"/>
        <w:rPr>
          <w:rFonts w:ascii="Cambria" w:hAnsi="Cambria" w:cstheme="minorHAnsi"/>
          <w:szCs w:val="22"/>
        </w:rPr>
      </w:pPr>
    </w:p>
    <w:p w14:paraId="2E5A191B" w14:textId="77777777" w:rsidR="00A56BE8" w:rsidRPr="00891CE8" w:rsidRDefault="00A56BE8" w:rsidP="00A56BE8">
      <w:pPr>
        <w:jc w:val="both"/>
        <w:rPr>
          <w:rFonts w:ascii="Cambria" w:hAnsi="Cambria" w:cstheme="minorHAnsi"/>
          <w:szCs w:val="22"/>
        </w:rPr>
      </w:pPr>
    </w:p>
    <w:p w14:paraId="5181DF00" w14:textId="77777777" w:rsidR="00A56BE8" w:rsidRPr="00891CE8" w:rsidRDefault="00A56BE8" w:rsidP="00A56BE8">
      <w:pPr>
        <w:autoSpaceDE w:val="0"/>
        <w:autoSpaceDN w:val="0"/>
        <w:adjustRightInd w:val="0"/>
        <w:jc w:val="both"/>
        <w:rPr>
          <w:rFonts w:ascii="Cambria" w:hAnsi="Cambria" w:cstheme="minorHAnsi"/>
          <w:color w:val="000000"/>
          <w:szCs w:val="22"/>
        </w:rPr>
      </w:pPr>
    </w:p>
    <w:p w14:paraId="37F9F0EC" w14:textId="3B746BD9" w:rsidR="002E4286" w:rsidRPr="00891CE8" w:rsidRDefault="0069677B" w:rsidP="00A56BE8">
      <w:pPr>
        <w:autoSpaceDE w:val="0"/>
        <w:autoSpaceDN w:val="0"/>
        <w:adjustRightInd w:val="0"/>
        <w:jc w:val="both"/>
        <w:rPr>
          <w:rFonts w:ascii="Cambria" w:hAnsi="Cambria" w:cstheme="minorHAnsi"/>
          <w:color w:val="000000"/>
          <w:szCs w:val="22"/>
        </w:rPr>
      </w:pPr>
      <w:r>
        <w:rPr>
          <w:rFonts w:ascii="Cambria" w:hAnsi="Cambria" w:cstheme="minorHAnsi"/>
          <w:color w:val="000000"/>
          <w:szCs w:val="22"/>
        </w:rPr>
        <w:t xml:space="preserve">September 17, </w:t>
      </w:r>
      <w:r w:rsidR="00EF6DB2" w:rsidRPr="00891CE8">
        <w:rPr>
          <w:rFonts w:ascii="Cambria" w:hAnsi="Cambria" w:cstheme="minorHAnsi"/>
          <w:color w:val="000000"/>
          <w:szCs w:val="22"/>
        </w:rPr>
        <w:t>202</w:t>
      </w:r>
      <w:r>
        <w:rPr>
          <w:rFonts w:ascii="Cambria" w:hAnsi="Cambria" w:cstheme="minorHAnsi"/>
          <w:color w:val="000000"/>
          <w:szCs w:val="22"/>
        </w:rPr>
        <w:t>5</w:t>
      </w:r>
    </w:p>
    <w:p w14:paraId="29F6E9D7" w14:textId="77777777" w:rsidR="002E4286" w:rsidRPr="00891CE8" w:rsidRDefault="002E4286" w:rsidP="00A56BE8">
      <w:pPr>
        <w:autoSpaceDE w:val="0"/>
        <w:autoSpaceDN w:val="0"/>
        <w:adjustRightInd w:val="0"/>
        <w:jc w:val="both"/>
        <w:rPr>
          <w:rFonts w:ascii="Cambria" w:hAnsi="Cambria" w:cstheme="minorHAnsi"/>
          <w:color w:val="000000"/>
          <w:szCs w:val="22"/>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580"/>
      </w:tblGrid>
      <w:tr w:rsidR="002E4286" w:rsidRPr="00891CE8" w14:paraId="5B16FB96" w14:textId="77777777" w:rsidTr="00891D66">
        <w:tc>
          <w:tcPr>
            <w:tcW w:w="4860" w:type="dxa"/>
          </w:tcPr>
          <w:p w14:paraId="36E38D37" w14:textId="198C143F" w:rsidR="002E4286" w:rsidRPr="00891CE8" w:rsidRDefault="002E4286" w:rsidP="00891D66">
            <w:pPr>
              <w:spacing w:after="160" w:line="259" w:lineRule="auto"/>
              <w:rPr>
                <w:rFonts w:ascii="Cambria" w:hAnsi="Cambria"/>
              </w:rPr>
            </w:pPr>
            <w:r w:rsidRPr="00891CE8">
              <w:rPr>
                <w:rFonts w:ascii="Cambria" w:hAnsi="Cambria"/>
              </w:rPr>
              <w:t xml:space="preserve">The Honorable </w:t>
            </w:r>
            <w:bookmarkStart w:id="0" w:name="_Hlk172810957"/>
            <w:r w:rsidR="00891D66">
              <w:rPr>
                <w:rFonts w:ascii="Cambria" w:hAnsi="Cambria"/>
              </w:rPr>
              <w:t>Rick Scott</w:t>
            </w:r>
            <w:r w:rsidR="00DC6A24" w:rsidRPr="00891CE8">
              <w:rPr>
                <w:rFonts w:ascii="Cambria" w:hAnsi="Cambria"/>
              </w:rPr>
              <w:t xml:space="preserve"> </w:t>
            </w:r>
            <w:bookmarkEnd w:id="0"/>
            <w:r w:rsidRPr="00891CE8">
              <w:rPr>
                <w:rFonts w:ascii="Cambria" w:hAnsi="Cambria"/>
              </w:rPr>
              <w:br/>
              <w:t>Chair</w:t>
            </w:r>
            <w:r w:rsidR="00DC6A24" w:rsidRPr="00891CE8">
              <w:rPr>
                <w:rFonts w:ascii="Cambria" w:hAnsi="Cambria"/>
              </w:rPr>
              <w:t xml:space="preserve">, Senate </w:t>
            </w:r>
            <w:r w:rsidR="00891D66">
              <w:rPr>
                <w:rFonts w:ascii="Cambria" w:hAnsi="Cambria"/>
              </w:rPr>
              <w:t>Select Committee on Aging</w:t>
            </w:r>
            <w:r w:rsidRPr="00891CE8">
              <w:rPr>
                <w:rFonts w:ascii="Cambria" w:hAnsi="Cambria"/>
              </w:rPr>
              <w:br/>
            </w:r>
            <w:r w:rsidR="00891D66" w:rsidRPr="00891D66">
              <w:rPr>
                <w:rFonts w:ascii="Cambria" w:hAnsi="Cambria"/>
              </w:rPr>
              <w:t>G16 Dirksen Senate Office Building </w:t>
            </w:r>
            <w:r w:rsidRPr="00891CE8">
              <w:rPr>
                <w:rFonts w:ascii="Cambria" w:hAnsi="Cambria"/>
              </w:rPr>
              <w:t> </w:t>
            </w:r>
            <w:r w:rsidRPr="00891CE8">
              <w:rPr>
                <w:rFonts w:ascii="Cambria" w:hAnsi="Cambria"/>
              </w:rPr>
              <w:br/>
              <w:t>Washington, DC 2051</w:t>
            </w:r>
            <w:r w:rsidR="00891D66">
              <w:rPr>
                <w:rFonts w:ascii="Cambria" w:hAnsi="Cambria"/>
              </w:rPr>
              <w:t>0</w:t>
            </w:r>
          </w:p>
        </w:tc>
        <w:tc>
          <w:tcPr>
            <w:tcW w:w="5580" w:type="dxa"/>
          </w:tcPr>
          <w:p w14:paraId="52AD3D56" w14:textId="13D26379" w:rsidR="002E4286" w:rsidRPr="00891CE8" w:rsidRDefault="002E4286" w:rsidP="00753B43">
            <w:pPr>
              <w:spacing w:after="160" w:line="259" w:lineRule="auto"/>
              <w:rPr>
                <w:rFonts w:ascii="Cambria" w:hAnsi="Cambria"/>
              </w:rPr>
            </w:pPr>
            <w:r w:rsidRPr="00891CE8">
              <w:rPr>
                <w:rFonts w:ascii="Cambria" w:hAnsi="Cambria"/>
              </w:rPr>
              <w:t xml:space="preserve">The Honorable </w:t>
            </w:r>
            <w:r w:rsidR="00891D66">
              <w:rPr>
                <w:rFonts w:ascii="Cambria" w:hAnsi="Cambria"/>
              </w:rPr>
              <w:t>Kirsten Gillibrand</w:t>
            </w:r>
            <w:r w:rsidR="00891D66">
              <w:rPr>
                <w:rFonts w:ascii="Cambria" w:hAnsi="Cambria"/>
              </w:rPr>
              <w:br/>
              <w:t>R</w:t>
            </w:r>
            <w:r w:rsidRPr="00891CE8">
              <w:rPr>
                <w:rFonts w:ascii="Cambria" w:hAnsi="Cambria"/>
              </w:rPr>
              <w:t>anking Member</w:t>
            </w:r>
            <w:r w:rsidR="00DC6A24" w:rsidRPr="00891CE8">
              <w:rPr>
                <w:rFonts w:ascii="Cambria" w:hAnsi="Cambria"/>
              </w:rPr>
              <w:t xml:space="preserve">, </w:t>
            </w:r>
            <w:r w:rsidR="00891D66">
              <w:rPr>
                <w:rFonts w:ascii="Cambria" w:hAnsi="Cambria"/>
              </w:rPr>
              <w:t>Senate Select Committee on Aging</w:t>
            </w:r>
            <w:r w:rsidRPr="00891CE8">
              <w:rPr>
                <w:rFonts w:ascii="Cambria" w:hAnsi="Cambria"/>
              </w:rPr>
              <w:br/>
            </w:r>
            <w:r w:rsidR="00891D66">
              <w:rPr>
                <w:rFonts w:ascii="Cambria" w:hAnsi="Cambria"/>
              </w:rPr>
              <w:t xml:space="preserve">628 Hart </w:t>
            </w:r>
            <w:r w:rsidR="00DC6A24" w:rsidRPr="00891CE8">
              <w:rPr>
                <w:rFonts w:ascii="Cambria" w:hAnsi="Cambria"/>
              </w:rPr>
              <w:t xml:space="preserve">Senate </w:t>
            </w:r>
            <w:r w:rsidR="00A541A3" w:rsidRPr="00891CE8">
              <w:rPr>
                <w:rFonts w:ascii="Cambria" w:hAnsi="Cambria"/>
              </w:rPr>
              <w:t xml:space="preserve">Office Building </w:t>
            </w:r>
            <w:r w:rsidRPr="00891CE8">
              <w:rPr>
                <w:rFonts w:ascii="Cambria" w:hAnsi="Cambria"/>
              </w:rPr>
              <w:br/>
              <w:t>Washington, DC 2051</w:t>
            </w:r>
            <w:r w:rsidR="00891D66">
              <w:rPr>
                <w:rFonts w:ascii="Cambria" w:hAnsi="Cambria"/>
              </w:rPr>
              <w:t>0</w:t>
            </w:r>
          </w:p>
        </w:tc>
      </w:tr>
    </w:tbl>
    <w:p w14:paraId="162F9B97" w14:textId="77777777" w:rsidR="002E4286" w:rsidRPr="00891CE8" w:rsidRDefault="002E4286" w:rsidP="00A56BE8">
      <w:pPr>
        <w:autoSpaceDE w:val="0"/>
        <w:autoSpaceDN w:val="0"/>
        <w:adjustRightInd w:val="0"/>
        <w:jc w:val="both"/>
        <w:rPr>
          <w:rFonts w:ascii="Cambria" w:hAnsi="Cambria" w:cstheme="minorHAnsi"/>
          <w:color w:val="000000"/>
          <w:szCs w:val="22"/>
        </w:rPr>
      </w:pPr>
    </w:p>
    <w:p w14:paraId="48D66F28" w14:textId="3610AB2D" w:rsidR="002E4286" w:rsidRPr="00891CE8" w:rsidRDefault="003A13A6" w:rsidP="00A56BE8">
      <w:pPr>
        <w:autoSpaceDE w:val="0"/>
        <w:autoSpaceDN w:val="0"/>
        <w:adjustRightInd w:val="0"/>
        <w:jc w:val="both"/>
        <w:rPr>
          <w:rFonts w:ascii="Cambria" w:hAnsi="Cambria" w:cstheme="minorHAnsi"/>
          <w:color w:val="000000"/>
          <w:szCs w:val="22"/>
        </w:rPr>
      </w:pPr>
      <w:r w:rsidRPr="00891CE8">
        <w:rPr>
          <w:rFonts w:ascii="Cambria" w:hAnsi="Cambria" w:cstheme="minorHAnsi"/>
          <w:color w:val="000000"/>
          <w:szCs w:val="22"/>
        </w:rPr>
        <w:t xml:space="preserve">Dear </w:t>
      </w:r>
      <w:r w:rsidR="000678FB" w:rsidRPr="00891CE8">
        <w:rPr>
          <w:rFonts w:ascii="Cambria" w:hAnsi="Cambria" w:cstheme="minorHAnsi"/>
          <w:color w:val="000000"/>
          <w:szCs w:val="22"/>
        </w:rPr>
        <w:t xml:space="preserve">Chairman </w:t>
      </w:r>
      <w:r w:rsidR="00891D66">
        <w:rPr>
          <w:rFonts w:ascii="Cambria" w:hAnsi="Cambria" w:cstheme="minorHAnsi"/>
          <w:color w:val="000000"/>
          <w:szCs w:val="22"/>
        </w:rPr>
        <w:t xml:space="preserve">Scott </w:t>
      </w:r>
      <w:r w:rsidR="00EF6DB2" w:rsidRPr="00891CE8">
        <w:rPr>
          <w:rFonts w:ascii="Cambria" w:hAnsi="Cambria" w:cstheme="minorHAnsi"/>
          <w:color w:val="000000"/>
          <w:szCs w:val="22"/>
        </w:rPr>
        <w:t xml:space="preserve">and </w:t>
      </w:r>
      <w:r w:rsidR="000678FB" w:rsidRPr="00891CE8">
        <w:rPr>
          <w:rFonts w:ascii="Cambria" w:hAnsi="Cambria" w:cstheme="minorHAnsi"/>
          <w:color w:val="000000"/>
          <w:szCs w:val="22"/>
        </w:rPr>
        <w:t xml:space="preserve">Ranking Member </w:t>
      </w:r>
      <w:r w:rsidR="00891D66">
        <w:rPr>
          <w:rFonts w:ascii="Cambria" w:hAnsi="Cambria" w:cstheme="minorHAnsi"/>
          <w:color w:val="000000"/>
          <w:szCs w:val="22"/>
        </w:rPr>
        <w:t>Gillibrand</w:t>
      </w:r>
      <w:r w:rsidR="00DC6A24" w:rsidRPr="00891CE8">
        <w:rPr>
          <w:rFonts w:ascii="Cambria" w:hAnsi="Cambria" w:cstheme="minorHAnsi"/>
          <w:color w:val="000000"/>
          <w:szCs w:val="22"/>
        </w:rPr>
        <w:t>:</w:t>
      </w:r>
    </w:p>
    <w:p w14:paraId="3864F132" w14:textId="77777777" w:rsidR="00EF6DB2" w:rsidRPr="00891CE8" w:rsidRDefault="00EF6DB2" w:rsidP="00A56BE8">
      <w:pPr>
        <w:autoSpaceDE w:val="0"/>
        <w:autoSpaceDN w:val="0"/>
        <w:adjustRightInd w:val="0"/>
        <w:jc w:val="both"/>
        <w:rPr>
          <w:rFonts w:ascii="Cambria" w:hAnsi="Cambria" w:cstheme="minorHAnsi"/>
          <w:color w:val="000000"/>
          <w:szCs w:val="22"/>
        </w:rPr>
      </w:pPr>
    </w:p>
    <w:p w14:paraId="2A610EE8" w14:textId="62F24EC1" w:rsidR="003C30CF" w:rsidRDefault="000678FB" w:rsidP="00EF6DB2">
      <w:pPr>
        <w:autoSpaceDE w:val="0"/>
        <w:autoSpaceDN w:val="0"/>
        <w:adjustRightInd w:val="0"/>
        <w:rPr>
          <w:rFonts w:ascii="Cambria" w:hAnsi="Cambria" w:cstheme="minorBidi"/>
          <w:szCs w:val="22"/>
        </w:rPr>
      </w:pPr>
      <w:r w:rsidRPr="00891CE8">
        <w:rPr>
          <w:rFonts w:ascii="Cambria" w:hAnsi="Cambria" w:cstheme="minorBidi"/>
          <w:szCs w:val="22"/>
        </w:rPr>
        <w:t>The National Consumers League (NCL) is a private, nonprofit</w:t>
      </w:r>
      <w:r w:rsidR="00EF6DB2" w:rsidRPr="00891CE8">
        <w:rPr>
          <w:rFonts w:ascii="Cambria" w:hAnsi="Cambria" w:cstheme="minorBidi"/>
          <w:szCs w:val="22"/>
        </w:rPr>
        <w:t xml:space="preserve"> consumer organization that</w:t>
      </w:r>
      <w:r w:rsidR="00A5398C" w:rsidRPr="00891CE8">
        <w:rPr>
          <w:rFonts w:ascii="Cambria" w:hAnsi="Cambria" w:cstheme="minorBidi"/>
          <w:szCs w:val="22"/>
        </w:rPr>
        <w:t>,</w:t>
      </w:r>
      <w:r w:rsidR="00EF6DB2" w:rsidRPr="00891CE8">
        <w:rPr>
          <w:rFonts w:ascii="Cambria" w:hAnsi="Cambria" w:cstheme="minorBidi"/>
          <w:szCs w:val="22"/>
        </w:rPr>
        <w:t xml:space="preserve"> since its founding in </w:t>
      </w:r>
      <w:r w:rsidRPr="00891CE8">
        <w:rPr>
          <w:rFonts w:ascii="Cambria" w:hAnsi="Cambria" w:cstheme="minorBidi"/>
          <w:szCs w:val="22"/>
        </w:rPr>
        <w:t>1899</w:t>
      </w:r>
      <w:r w:rsidR="00A5398C" w:rsidRPr="00891CE8">
        <w:rPr>
          <w:rFonts w:ascii="Cambria" w:hAnsi="Cambria" w:cstheme="minorBidi"/>
          <w:szCs w:val="22"/>
        </w:rPr>
        <w:t>,</w:t>
      </w:r>
      <w:r w:rsidR="008178B0" w:rsidRPr="00891CE8">
        <w:rPr>
          <w:rFonts w:ascii="Cambria" w:hAnsi="Cambria" w:cstheme="minorBidi"/>
          <w:szCs w:val="22"/>
        </w:rPr>
        <w:t xml:space="preserve"> has </w:t>
      </w:r>
      <w:r w:rsidR="00EF6DB2" w:rsidRPr="00891CE8">
        <w:rPr>
          <w:rFonts w:ascii="Cambria" w:hAnsi="Cambria" w:cstheme="minorBidi"/>
          <w:szCs w:val="22"/>
        </w:rPr>
        <w:t xml:space="preserve">been a </w:t>
      </w:r>
      <w:r w:rsidRPr="00891CE8">
        <w:rPr>
          <w:rFonts w:ascii="Cambria" w:hAnsi="Cambria" w:cstheme="minorBidi"/>
          <w:szCs w:val="22"/>
        </w:rPr>
        <w:t xml:space="preserve">vocal advocate for </w:t>
      </w:r>
      <w:r w:rsidR="00EF6DB2" w:rsidRPr="00891CE8">
        <w:rPr>
          <w:rFonts w:ascii="Cambria" w:hAnsi="Cambria" w:cstheme="minorBidi"/>
          <w:szCs w:val="22"/>
        </w:rPr>
        <w:t xml:space="preserve">policies </w:t>
      </w:r>
      <w:r w:rsidR="00A5398C" w:rsidRPr="00891CE8">
        <w:rPr>
          <w:rFonts w:ascii="Cambria" w:hAnsi="Cambria" w:cstheme="minorBidi"/>
          <w:szCs w:val="22"/>
        </w:rPr>
        <w:t>to</w:t>
      </w:r>
      <w:r w:rsidR="00EF6DB2" w:rsidRPr="00891CE8">
        <w:rPr>
          <w:rFonts w:ascii="Cambria" w:hAnsi="Cambria" w:cstheme="minorBidi"/>
          <w:szCs w:val="22"/>
        </w:rPr>
        <w:t xml:space="preserve"> improve the health and well-being of Americans. </w:t>
      </w:r>
      <w:r w:rsidR="00434B66">
        <w:rPr>
          <w:rFonts w:ascii="Cambria" w:hAnsi="Cambria" w:cstheme="minorBidi"/>
          <w:szCs w:val="22"/>
        </w:rPr>
        <w:t xml:space="preserve">Thus, we </w:t>
      </w:r>
      <w:r w:rsidR="00891D66">
        <w:rPr>
          <w:rFonts w:ascii="Cambria" w:hAnsi="Cambria" w:cstheme="minorBidi"/>
          <w:szCs w:val="22"/>
        </w:rPr>
        <w:t xml:space="preserve">write to </w:t>
      </w:r>
      <w:r w:rsidR="008B6902">
        <w:rPr>
          <w:rFonts w:ascii="Cambria" w:hAnsi="Cambria" w:cstheme="minorBidi"/>
          <w:szCs w:val="22"/>
        </w:rPr>
        <w:t xml:space="preserve">thank the Select Committee for holding the hearing, </w:t>
      </w:r>
      <w:r w:rsidR="008B6902" w:rsidRPr="008B6902">
        <w:rPr>
          <w:rFonts w:ascii="Cambria" w:hAnsi="Cambria" w:cstheme="minorBidi"/>
          <w:i/>
          <w:iCs/>
          <w:szCs w:val="22"/>
        </w:rPr>
        <w:t xml:space="preserve">Prescription for Trouble: Drug Safety, Supply Chains, and the Risk to Aging Americans, </w:t>
      </w:r>
      <w:r w:rsidR="008B6902">
        <w:rPr>
          <w:rFonts w:ascii="Cambria" w:hAnsi="Cambria" w:cstheme="minorBidi"/>
          <w:szCs w:val="22"/>
        </w:rPr>
        <w:t xml:space="preserve">and to offer our perspective on a critical safety issue affecting many seniors today – the </w:t>
      </w:r>
      <w:r w:rsidR="003C30CF">
        <w:rPr>
          <w:rFonts w:ascii="Cambria" w:hAnsi="Cambria" w:cstheme="minorBidi"/>
          <w:szCs w:val="22"/>
        </w:rPr>
        <w:t xml:space="preserve">serious health risks posed by compounded GLP-1 medicines made with </w:t>
      </w:r>
      <w:r w:rsidR="003C30CF" w:rsidRPr="003C30CF">
        <w:rPr>
          <w:rFonts w:ascii="Cambria" w:hAnsi="Cambria" w:cstheme="minorBidi"/>
          <w:szCs w:val="22"/>
        </w:rPr>
        <w:t xml:space="preserve">unregulated active pharmaceutical ingredients (API) from foreign sources (primarily China), many of which are not registered or inspected by the </w:t>
      </w:r>
      <w:r w:rsidR="00CB0B17">
        <w:rPr>
          <w:rFonts w:ascii="Cambria" w:hAnsi="Cambria" w:cstheme="minorBidi"/>
          <w:szCs w:val="22"/>
        </w:rPr>
        <w:t xml:space="preserve">Food and Drug Administration </w:t>
      </w:r>
      <w:r w:rsidR="00CB0B17">
        <w:rPr>
          <w:rFonts w:ascii="Cambria" w:hAnsi="Cambria" w:cstheme="minorBidi"/>
          <w:szCs w:val="22"/>
        </w:rPr>
        <w:t>(</w:t>
      </w:r>
      <w:r w:rsidR="003C30CF" w:rsidRPr="003C30CF">
        <w:rPr>
          <w:rFonts w:ascii="Cambria" w:hAnsi="Cambria" w:cstheme="minorBidi"/>
          <w:szCs w:val="22"/>
        </w:rPr>
        <w:t>FDA</w:t>
      </w:r>
      <w:r w:rsidR="00CB0B17">
        <w:rPr>
          <w:rFonts w:ascii="Cambria" w:hAnsi="Cambria" w:cstheme="minorBidi"/>
          <w:szCs w:val="22"/>
        </w:rPr>
        <w:t>)</w:t>
      </w:r>
      <w:r w:rsidR="003C30CF" w:rsidRPr="003C30CF">
        <w:rPr>
          <w:rFonts w:ascii="Cambria" w:hAnsi="Cambria" w:cstheme="minorBidi"/>
          <w:szCs w:val="22"/>
        </w:rPr>
        <w:t>.</w:t>
      </w:r>
    </w:p>
    <w:p w14:paraId="0541D989" w14:textId="77777777" w:rsidR="00470A55" w:rsidRDefault="00470A55" w:rsidP="00EF6DB2">
      <w:pPr>
        <w:autoSpaceDE w:val="0"/>
        <w:autoSpaceDN w:val="0"/>
        <w:adjustRightInd w:val="0"/>
        <w:rPr>
          <w:rFonts w:ascii="Cambria" w:hAnsi="Cambria" w:cstheme="minorBidi"/>
          <w:szCs w:val="22"/>
        </w:rPr>
      </w:pPr>
    </w:p>
    <w:p w14:paraId="3761A4C4" w14:textId="334D14FF" w:rsidR="00434B66" w:rsidRDefault="00470A55" w:rsidP="007A6DD6">
      <w:pPr>
        <w:autoSpaceDE w:val="0"/>
        <w:autoSpaceDN w:val="0"/>
        <w:adjustRightInd w:val="0"/>
        <w:rPr>
          <w:rFonts w:ascii="Times New Roman" w:hAnsi="Times New Roman"/>
        </w:rPr>
      </w:pPr>
      <w:r>
        <w:rPr>
          <w:rFonts w:ascii="Cambria" w:hAnsi="Cambria" w:cstheme="minorBidi"/>
          <w:szCs w:val="22"/>
        </w:rPr>
        <w:t>On May 1, 2025, the N</w:t>
      </w:r>
      <w:r w:rsidR="00744AA9">
        <w:rPr>
          <w:rFonts w:ascii="Cambria" w:hAnsi="Cambria" w:cstheme="minorBidi"/>
          <w:szCs w:val="22"/>
        </w:rPr>
        <w:t>CL</w:t>
      </w:r>
      <w:r>
        <w:rPr>
          <w:rFonts w:ascii="Cambria" w:hAnsi="Cambria" w:cstheme="minorBidi"/>
          <w:szCs w:val="22"/>
        </w:rPr>
        <w:t xml:space="preserve"> launched The Weight Truth, a national anti-disinformation effort </w:t>
      </w:r>
      <w:r w:rsidRPr="00470A55">
        <w:rPr>
          <w:rFonts w:ascii="Cambria" w:hAnsi="Cambria" w:cstheme="minorBidi"/>
          <w:szCs w:val="22"/>
        </w:rPr>
        <w:t xml:space="preserve">to </w:t>
      </w:r>
      <w:r w:rsidR="00744EC8">
        <w:rPr>
          <w:rFonts w:ascii="Cambria" w:hAnsi="Cambria" w:cstheme="minorBidi"/>
          <w:szCs w:val="22"/>
        </w:rPr>
        <w:t xml:space="preserve">alert consumers to the warnings from the </w:t>
      </w:r>
      <w:r w:rsidR="002C62E9">
        <w:rPr>
          <w:rFonts w:ascii="Cambria" w:hAnsi="Cambria" w:cstheme="minorBidi"/>
          <w:szCs w:val="22"/>
        </w:rPr>
        <w:t xml:space="preserve">FDA </w:t>
      </w:r>
      <w:r w:rsidR="00744EC8">
        <w:rPr>
          <w:rFonts w:ascii="Cambria" w:hAnsi="Cambria" w:cstheme="minorBidi"/>
          <w:szCs w:val="22"/>
        </w:rPr>
        <w:t xml:space="preserve">and medical societies that compounded GLP-1 drugs are not reviewed </w:t>
      </w:r>
      <w:r w:rsidR="00744EC8" w:rsidRPr="00A73DA0">
        <w:rPr>
          <w:rFonts w:ascii="Cambria" w:hAnsi="Cambria" w:cstheme="minorBidi"/>
          <w:szCs w:val="22"/>
        </w:rPr>
        <w:t>for safety, effectiveness or quality</w:t>
      </w:r>
      <w:r w:rsidR="00434B66" w:rsidRPr="00434B66">
        <w:rPr>
          <w:rFonts w:ascii="Cambria" w:hAnsi="Cambria" w:cstheme="minorBidi"/>
          <w:szCs w:val="22"/>
        </w:rPr>
        <w:t xml:space="preserve"> </w:t>
      </w:r>
      <w:r w:rsidR="00434B66">
        <w:rPr>
          <w:rFonts w:ascii="Cambria" w:hAnsi="Cambria" w:cstheme="minorBidi"/>
          <w:szCs w:val="22"/>
        </w:rPr>
        <w:t xml:space="preserve">by </w:t>
      </w:r>
      <w:r w:rsidR="00744AA9">
        <w:rPr>
          <w:rFonts w:ascii="Cambria" w:hAnsi="Cambria" w:cstheme="minorBidi"/>
          <w:szCs w:val="22"/>
        </w:rPr>
        <w:t xml:space="preserve">the </w:t>
      </w:r>
      <w:r w:rsidR="00434B66">
        <w:rPr>
          <w:rFonts w:ascii="Cambria" w:hAnsi="Cambria" w:cstheme="minorBidi"/>
          <w:szCs w:val="22"/>
        </w:rPr>
        <w:t>FDA</w:t>
      </w:r>
      <w:r w:rsidR="00FF3303">
        <w:rPr>
          <w:rFonts w:ascii="Cambria" w:hAnsi="Cambria" w:cstheme="minorBidi"/>
          <w:szCs w:val="22"/>
        </w:rPr>
        <w:t>,</w:t>
      </w:r>
      <w:r w:rsidR="00744EC8" w:rsidRPr="00A73DA0">
        <w:rPr>
          <w:rFonts w:ascii="Cambria" w:hAnsi="Cambria" w:cstheme="minorBidi"/>
          <w:szCs w:val="22"/>
          <w:vertAlign w:val="superscript"/>
        </w:rPr>
        <w:footnoteReference w:id="1"/>
      </w:r>
      <w:r w:rsidR="00FF3303">
        <w:rPr>
          <w:rFonts w:ascii="Cambria" w:hAnsi="Cambria" w:cstheme="minorBidi"/>
          <w:szCs w:val="22"/>
        </w:rPr>
        <w:t xml:space="preserve"> </w:t>
      </w:r>
      <w:r w:rsidR="00744EC8">
        <w:rPr>
          <w:rFonts w:ascii="Cambria" w:hAnsi="Cambria" w:cstheme="minorBidi"/>
          <w:szCs w:val="22"/>
        </w:rPr>
        <w:t xml:space="preserve">are not approved medicines, and </w:t>
      </w:r>
      <w:r w:rsidR="00ED5F10" w:rsidRPr="00A73DA0">
        <w:rPr>
          <w:rFonts w:ascii="Cambria" w:hAnsi="Cambria" w:cstheme="minorBidi"/>
          <w:szCs w:val="22"/>
        </w:rPr>
        <w:t>“can be risky for patients”</w:t>
      </w:r>
      <w:r w:rsidR="00ED5F10" w:rsidRPr="00A73DA0">
        <w:rPr>
          <w:rFonts w:ascii="Cambria" w:hAnsi="Cambria" w:cstheme="minorBidi"/>
          <w:szCs w:val="22"/>
          <w:vertAlign w:val="superscript"/>
        </w:rPr>
        <w:footnoteReference w:id="2"/>
      </w:r>
      <w:r w:rsidR="00ED5F10" w:rsidRPr="00A73DA0">
        <w:rPr>
          <w:rFonts w:ascii="Cambria" w:hAnsi="Cambria" w:cstheme="minorBidi"/>
          <w:szCs w:val="22"/>
        </w:rPr>
        <w:t xml:space="preserve"> </w:t>
      </w:r>
      <w:r w:rsidR="00320C20">
        <w:rPr>
          <w:rFonts w:ascii="Cambria" w:hAnsi="Cambria" w:cstheme="minorBidi"/>
          <w:szCs w:val="22"/>
        </w:rPr>
        <w:t xml:space="preserve">because compounded versions </w:t>
      </w:r>
      <w:r w:rsidR="007A6DD6">
        <w:rPr>
          <w:rFonts w:ascii="Cambria" w:hAnsi="Cambria" w:cstheme="minorBidi"/>
          <w:szCs w:val="22"/>
        </w:rPr>
        <w:t xml:space="preserve">differ in ways </w:t>
      </w:r>
      <w:r w:rsidR="00297240">
        <w:rPr>
          <w:rFonts w:ascii="Cambria" w:hAnsi="Cambria" w:cstheme="minorBidi"/>
          <w:szCs w:val="22"/>
        </w:rPr>
        <w:t>that may increase the risk of medication</w:t>
      </w:r>
      <w:r w:rsidR="00744EC8">
        <w:rPr>
          <w:rFonts w:ascii="Cambria" w:hAnsi="Cambria" w:cstheme="minorBidi"/>
          <w:szCs w:val="22"/>
        </w:rPr>
        <w:t xml:space="preserve"> errors</w:t>
      </w:r>
      <w:r w:rsidR="00297240">
        <w:rPr>
          <w:rFonts w:ascii="Cambria" w:hAnsi="Cambria" w:cstheme="minorBidi"/>
          <w:szCs w:val="22"/>
        </w:rPr>
        <w:t xml:space="preserve">. </w:t>
      </w:r>
      <w:r w:rsidR="007A6DD6">
        <w:rPr>
          <w:rFonts w:ascii="Cambria" w:hAnsi="Cambria" w:cstheme="minorBidi"/>
          <w:szCs w:val="22"/>
        </w:rPr>
        <w:t xml:space="preserve">Among the differences, compounded GLP-1 drugs </w:t>
      </w:r>
      <w:r w:rsidR="007A6DD6" w:rsidRPr="00D6257A">
        <w:rPr>
          <w:rFonts w:ascii="Cambria" w:hAnsi="Cambria"/>
        </w:rPr>
        <w:t xml:space="preserve">may contain </w:t>
      </w:r>
      <w:r w:rsidR="007A6DD6" w:rsidRPr="000B1DE2">
        <w:rPr>
          <w:rFonts w:ascii="Times New Roman" w:hAnsi="Times New Roman"/>
        </w:rPr>
        <w:t xml:space="preserve">too much or too little of the </w:t>
      </w:r>
      <w:r w:rsidR="007A6DD6">
        <w:rPr>
          <w:rFonts w:ascii="Times New Roman" w:hAnsi="Times New Roman"/>
        </w:rPr>
        <w:t>API</w:t>
      </w:r>
      <w:r w:rsidR="00434B66">
        <w:rPr>
          <w:rFonts w:ascii="Times New Roman" w:hAnsi="Times New Roman"/>
        </w:rPr>
        <w:t>, be</w:t>
      </w:r>
      <w:r w:rsidR="007A6DD6" w:rsidRPr="000B1DE2">
        <w:rPr>
          <w:rFonts w:ascii="Times New Roman" w:hAnsi="Times New Roman"/>
        </w:rPr>
        <w:t xml:space="preserve"> at a different dosage level,</w:t>
      </w:r>
      <w:r w:rsidR="00434B66">
        <w:rPr>
          <w:rFonts w:ascii="Times New Roman" w:hAnsi="Times New Roman"/>
        </w:rPr>
        <w:t xml:space="preserve"> and have drug </w:t>
      </w:r>
      <w:r w:rsidR="00B016E1">
        <w:rPr>
          <w:rFonts w:ascii="Times New Roman" w:hAnsi="Times New Roman"/>
        </w:rPr>
        <w:t xml:space="preserve">quality </w:t>
      </w:r>
      <w:r w:rsidR="00EB2AB8">
        <w:rPr>
          <w:rFonts w:ascii="Times New Roman" w:hAnsi="Times New Roman"/>
        </w:rPr>
        <w:t>problems, such as contamination with bacteria or a harmful substance</w:t>
      </w:r>
      <w:r w:rsidR="00434B66">
        <w:rPr>
          <w:rFonts w:ascii="Times New Roman" w:hAnsi="Times New Roman"/>
        </w:rPr>
        <w:t xml:space="preserve"> – all of which </w:t>
      </w:r>
      <w:r w:rsidR="00EB2AB8">
        <w:rPr>
          <w:rFonts w:ascii="Times New Roman" w:hAnsi="Times New Roman"/>
        </w:rPr>
        <w:t xml:space="preserve">can be detrimental to patient safety. </w:t>
      </w:r>
    </w:p>
    <w:p w14:paraId="1DCA186C" w14:textId="77777777" w:rsidR="00EB2AB8" w:rsidRDefault="00EB2AB8" w:rsidP="007A6DD6">
      <w:pPr>
        <w:autoSpaceDE w:val="0"/>
        <w:autoSpaceDN w:val="0"/>
        <w:adjustRightInd w:val="0"/>
        <w:rPr>
          <w:rFonts w:ascii="Times New Roman" w:hAnsi="Times New Roman"/>
        </w:rPr>
      </w:pPr>
    </w:p>
    <w:p w14:paraId="74E3631F" w14:textId="11023363" w:rsidR="00EB2AB8" w:rsidRDefault="00EB2AB8" w:rsidP="00EB2AB8">
      <w:pPr>
        <w:autoSpaceDE w:val="0"/>
        <w:autoSpaceDN w:val="0"/>
        <w:adjustRightInd w:val="0"/>
        <w:rPr>
          <w:rFonts w:ascii="Times New Roman" w:hAnsi="Times New Roman"/>
          <w:color w:val="000000"/>
        </w:rPr>
      </w:pPr>
      <w:r w:rsidRPr="00031FC2">
        <w:rPr>
          <w:rFonts w:ascii="Times New Roman" w:hAnsi="Times New Roman"/>
        </w:rPr>
        <w:t xml:space="preserve">Underscoring the potential health consequences from dosing errors and exposure to the wrong ingredients, as of </w:t>
      </w:r>
      <w:r w:rsidRPr="00031FC2">
        <w:rPr>
          <w:rFonts w:ascii="Times New Roman" w:hAnsi="Times New Roman"/>
          <w:color w:val="000000"/>
        </w:rPr>
        <w:t xml:space="preserve">September 9, 2025, </w:t>
      </w:r>
      <w:r w:rsidR="00031FC2" w:rsidRPr="00031FC2">
        <w:rPr>
          <w:rFonts w:ascii="Times New Roman" w:hAnsi="Times New Roman"/>
          <w:color w:val="000000"/>
        </w:rPr>
        <w:t xml:space="preserve">the </w:t>
      </w:r>
      <w:r w:rsidRPr="00031FC2">
        <w:rPr>
          <w:rFonts w:ascii="Times New Roman" w:hAnsi="Times New Roman"/>
          <w:color w:val="000000"/>
        </w:rPr>
        <w:t>FDA has received 1,424 reports of adverse events associated with compounded GLP-1 drugs, 329 hospitalizations, and 23 deaths.</w:t>
      </w:r>
      <w:r w:rsidR="00744EC8">
        <w:rPr>
          <w:rStyle w:val="FootnoteReference"/>
          <w:rFonts w:ascii="Times New Roman" w:hAnsi="Times New Roman"/>
          <w:color w:val="000000"/>
        </w:rPr>
        <w:footnoteReference w:id="3"/>
      </w:r>
      <w:r w:rsidRPr="00031FC2">
        <w:rPr>
          <w:rFonts w:ascii="Times New Roman" w:hAnsi="Times New Roman"/>
          <w:color w:val="000000"/>
        </w:rPr>
        <w:t xml:space="preserve"> Moreover, poison control centers have seen a nearly 1,500 percent increase in calls since 2019 related to overdose or side effects of injectable weight loss drugs</w:t>
      </w:r>
      <w:r w:rsidR="002F4924">
        <w:rPr>
          <w:rFonts w:ascii="Times New Roman" w:hAnsi="Times New Roman"/>
          <w:color w:val="000000"/>
        </w:rPr>
        <w:t>,</w:t>
      </w:r>
      <w:r w:rsidRPr="00031FC2">
        <w:rPr>
          <w:rFonts w:ascii="Times New Roman" w:hAnsi="Times New Roman"/>
          <w:color w:val="000000"/>
        </w:rPr>
        <w:t xml:space="preserve"> and have managed 3,633 GLP-1 agonist</w:t>
      </w:r>
      <w:r w:rsidR="002F4924">
        <w:rPr>
          <w:rFonts w:ascii="Times New Roman" w:hAnsi="Times New Roman"/>
          <w:color w:val="000000"/>
        </w:rPr>
        <w:t>-</w:t>
      </w:r>
      <w:r w:rsidRPr="00031FC2">
        <w:rPr>
          <w:rFonts w:ascii="Times New Roman" w:hAnsi="Times New Roman"/>
          <w:color w:val="000000"/>
        </w:rPr>
        <w:t>related exposure cases as of April 30, 2025.</w:t>
      </w:r>
      <w:r w:rsidR="00434B66">
        <w:rPr>
          <w:rStyle w:val="FootnoteReference"/>
          <w:rFonts w:ascii="Times New Roman" w:hAnsi="Times New Roman"/>
          <w:color w:val="000000"/>
        </w:rPr>
        <w:footnoteReference w:id="4"/>
      </w:r>
      <w:r w:rsidRPr="00031FC2">
        <w:rPr>
          <w:rFonts w:ascii="Times New Roman" w:hAnsi="Times New Roman"/>
          <w:color w:val="000000"/>
        </w:rPr>
        <w:t xml:space="preserve">  </w:t>
      </w:r>
    </w:p>
    <w:p w14:paraId="4CF31B7A" w14:textId="77777777" w:rsidR="00031FC2" w:rsidRDefault="00031FC2" w:rsidP="00EB2AB8">
      <w:pPr>
        <w:autoSpaceDE w:val="0"/>
        <w:autoSpaceDN w:val="0"/>
        <w:adjustRightInd w:val="0"/>
        <w:rPr>
          <w:rFonts w:ascii="Times New Roman" w:hAnsi="Times New Roman"/>
          <w:color w:val="000000"/>
        </w:rPr>
      </w:pPr>
    </w:p>
    <w:p w14:paraId="3BD96025" w14:textId="1C7A0D99" w:rsidR="00C2271C" w:rsidRDefault="00031FC2" w:rsidP="00C2271C">
      <w:pPr>
        <w:autoSpaceDE w:val="0"/>
        <w:autoSpaceDN w:val="0"/>
        <w:adjustRightInd w:val="0"/>
        <w:rPr>
          <w:rFonts w:ascii="Times New Roman" w:hAnsi="Times New Roman"/>
          <w:color w:val="000000"/>
        </w:rPr>
      </w:pPr>
      <w:r w:rsidRPr="00C2271C">
        <w:rPr>
          <w:rFonts w:ascii="Times New Roman" w:hAnsi="Times New Roman"/>
          <w:color w:val="000000"/>
        </w:rPr>
        <w:lastRenderedPageBreak/>
        <w:t xml:space="preserve">However, older adults face added </w:t>
      </w:r>
      <w:r w:rsidR="00C2271C">
        <w:rPr>
          <w:rFonts w:ascii="Times New Roman" w:hAnsi="Times New Roman"/>
          <w:color w:val="000000"/>
        </w:rPr>
        <w:t>safety challenges</w:t>
      </w:r>
      <w:r w:rsidRPr="00C2271C">
        <w:rPr>
          <w:rFonts w:ascii="Times New Roman" w:hAnsi="Times New Roman"/>
          <w:color w:val="000000"/>
        </w:rPr>
        <w:t xml:space="preserve"> </w:t>
      </w:r>
      <w:r w:rsidR="00434B66">
        <w:rPr>
          <w:rFonts w:ascii="Times New Roman" w:hAnsi="Times New Roman"/>
          <w:color w:val="000000"/>
        </w:rPr>
        <w:t xml:space="preserve">when </w:t>
      </w:r>
      <w:r w:rsidRPr="00C2271C">
        <w:rPr>
          <w:rFonts w:ascii="Times New Roman" w:hAnsi="Times New Roman"/>
          <w:color w:val="000000"/>
        </w:rPr>
        <w:t xml:space="preserve">taking </w:t>
      </w:r>
      <w:r w:rsidR="00C2271C">
        <w:rPr>
          <w:rFonts w:ascii="Times New Roman" w:hAnsi="Times New Roman"/>
          <w:color w:val="000000"/>
        </w:rPr>
        <w:t xml:space="preserve">a </w:t>
      </w:r>
      <w:r w:rsidRPr="00C2271C">
        <w:rPr>
          <w:rFonts w:ascii="Times New Roman" w:hAnsi="Times New Roman"/>
          <w:color w:val="000000"/>
        </w:rPr>
        <w:t>compounded GLP-1 drug</w:t>
      </w:r>
      <w:r w:rsidR="00FF3303">
        <w:rPr>
          <w:rFonts w:ascii="Times New Roman" w:hAnsi="Times New Roman"/>
          <w:color w:val="000000"/>
        </w:rPr>
        <w:t xml:space="preserve">. </w:t>
      </w:r>
      <w:r w:rsidR="00613875">
        <w:rPr>
          <w:rFonts w:ascii="Times New Roman" w:hAnsi="Times New Roman"/>
          <w:color w:val="000000"/>
        </w:rPr>
        <w:t xml:space="preserve">Compared to younger </w:t>
      </w:r>
      <w:r w:rsidR="00FF3303">
        <w:rPr>
          <w:rFonts w:ascii="Times New Roman" w:hAnsi="Times New Roman"/>
          <w:color w:val="000000"/>
        </w:rPr>
        <w:t>adults</w:t>
      </w:r>
      <w:r w:rsidR="00613875">
        <w:rPr>
          <w:rFonts w:ascii="Times New Roman" w:hAnsi="Times New Roman"/>
          <w:color w:val="000000"/>
        </w:rPr>
        <w:t xml:space="preserve">, seniors </w:t>
      </w:r>
      <w:r w:rsidR="00C2271C" w:rsidRPr="00C2271C">
        <w:rPr>
          <w:rFonts w:ascii="Times New Roman" w:hAnsi="Times New Roman"/>
          <w:color w:val="000000"/>
        </w:rPr>
        <w:t xml:space="preserve">metabolize drugs differently due to age-related physiological changes, </w:t>
      </w:r>
      <w:r w:rsidR="00C2271C">
        <w:rPr>
          <w:rFonts w:ascii="Times New Roman" w:hAnsi="Times New Roman"/>
          <w:color w:val="000000"/>
        </w:rPr>
        <w:t xml:space="preserve">such as </w:t>
      </w:r>
      <w:r w:rsidR="00C2271C" w:rsidRPr="00C2271C">
        <w:rPr>
          <w:rFonts w:ascii="Times New Roman" w:hAnsi="Times New Roman"/>
          <w:color w:val="000000"/>
        </w:rPr>
        <w:t>reduced liver and kidney function</w:t>
      </w:r>
      <w:r w:rsidR="00FF3303">
        <w:rPr>
          <w:rFonts w:ascii="Times New Roman" w:hAnsi="Times New Roman"/>
          <w:color w:val="000000"/>
        </w:rPr>
        <w:t xml:space="preserve">. </w:t>
      </w:r>
      <w:r w:rsidR="00613875">
        <w:rPr>
          <w:rFonts w:ascii="Times New Roman" w:hAnsi="Times New Roman"/>
          <w:color w:val="000000"/>
        </w:rPr>
        <w:t xml:space="preserve">These age-related changes increase the likelihood that a dosing error </w:t>
      </w:r>
      <w:r w:rsidR="00FF3303">
        <w:rPr>
          <w:rFonts w:ascii="Times New Roman" w:hAnsi="Times New Roman"/>
          <w:color w:val="000000"/>
        </w:rPr>
        <w:t xml:space="preserve">from taking </w:t>
      </w:r>
      <w:r w:rsidR="00613875">
        <w:rPr>
          <w:rFonts w:ascii="Times New Roman" w:hAnsi="Times New Roman"/>
          <w:color w:val="000000"/>
        </w:rPr>
        <w:t xml:space="preserve">a compounded GLP-1 medicine will lead to </w:t>
      </w:r>
      <w:r w:rsidR="00C2271C">
        <w:rPr>
          <w:rFonts w:ascii="Times New Roman" w:hAnsi="Times New Roman"/>
          <w:color w:val="000000"/>
        </w:rPr>
        <w:t xml:space="preserve">a severe adverse effect, </w:t>
      </w:r>
      <w:r w:rsidR="00C2271C" w:rsidRPr="00C2271C">
        <w:rPr>
          <w:rFonts w:ascii="Times New Roman" w:hAnsi="Times New Roman"/>
          <w:color w:val="000000"/>
        </w:rPr>
        <w:t>like pancreatitis, gallbladder issues, and gastroparesis.</w:t>
      </w:r>
      <w:r w:rsidR="00957802">
        <w:rPr>
          <w:rStyle w:val="FootnoteReference"/>
          <w:rFonts w:ascii="Times New Roman" w:hAnsi="Times New Roman"/>
          <w:color w:val="000000"/>
        </w:rPr>
        <w:footnoteReference w:id="5"/>
      </w:r>
      <w:r w:rsidR="00C2271C" w:rsidRPr="00C2271C">
        <w:rPr>
          <w:rFonts w:ascii="Times New Roman" w:hAnsi="Times New Roman"/>
          <w:color w:val="000000"/>
        </w:rPr>
        <w:t xml:space="preserve"> Additionally, older adults may be more susceptible to the medication's known side effects, such as muscle mass loss and dehydration, and are at higher risk for harmful drug interactions due to taking multiple medications. </w:t>
      </w:r>
    </w:p>
    <w:p w14:paraId="19C6711D" w14:textId="77777777" w:rsidR="00957802" w:rsidRDefault="00957802" w:rsidP="00C2271C">
      <w:pPr>
        <w:autoSpaceDE w:val="0"/>
        <w:autoSpaceDN w:val="0"/>
        <w:adjustRightInd w:val="0"/>
        <w:rPr>
          <w:rFonts w:ascii="Times New Roman" w:hAnsi="Times New Roman"/>
          <w:color w:val="000000"/>
        </w:rPr>
      </w:pPr>
    </w:p>
    <w:p w14:paraId="652D1E5D" w14:textId="5B334936" w:rsidR="00044C74" w:rsidRDefault="00957802" w:rsidP="00C2271C">
      <w:pPr>
        <w:autoSpaceDE w:val="0"/>
        <w:autoSpaceDN w:val="0"/>
        <w:adjustRightInd w:val="0"/>
        <w:rPr>
          <w:rFonts w:ascii="Times New Roman" w:hAnsi="Times New Roman"/>
          <w:color w:val="000000"/>
        </w:rPr>
      </w:pPr>
      <w:r>
        <w:rPr>
          <w:rFonts w:ascii="Times New Roman" w:hAnsi="Times New Roman"/>
          <w:color w:val="000000"/>
        </w:rPr>
        <w:t xml:space="preserve">These concerns are especially relevant as the Select Committee considers the risks to seniors from </w:t>
      </w:r>
      <w:r w:rsidR="00044C74">
        <w:rPr>
          <w:rFonts w:ascii="Times New Roman" w:hAnsi="Times New Roman"/>
          <w:color w:val="000000"/>
        </w:rPr>
        <w:t xml:space="preserve">compounded GLP-1 drugs that rely on foreign sources for the supply of API. </w:t>
      </w:r>
      <w:r w:rsidR="00044C74" w:rsidRPr="00044C74">
        <w:rPr>
          <w:rFonts w:ascii="Times New Roman" w:hAnsi="Times New Roman"/>
          <w:color w:val="000000"/>
        </w:rPr>
        <w:t xml:space="preserve">Federal law </w:t>
      </w:r>
      <w:r w:rsidR="00044C74">
        <w:rPr>
          <w:rFonts w:ascii="Times New Roman" w:hAnsi="Times New Roman"/>
          <w:color w:val="000000"/>
        </w:rPr>
        <w:t xml:space="preserve">requires </w:t>
      </w:r>
    </w:p>
    <w:p w14:paraId="391334DE" w14:textId="41A9BC16" w:rsidR="004F25B9" w:rsidRDefault="00044C74" w:rsidP="00C2271C">
      <w:pPr>
        <w:autoSpaceDE w:val="0"/>
        <w:autoSpaceDN w:val="0"/>
        <w:adjustRightInd w:val="0"/>
        <w:rPr>
          <w:rFonts w:ascii="Times New Roman" w:hAnsi="Times New Roman"/>
        </w:rPr>
      </w:pPr>
      <w:r w:rsidRPr="00044C74">
        <w:rPr>
          <w:rFonts w:ascii="Times New Roman" w:hAnsi="Times New Roman"/>
          <w:color w:val="000000"/>
        </w:rPr>
        <w:t xml:space="preserve">that API used in any product sold in the U.S., including compounded drugs, </w:t>
      </w:r>
      <w:r>
        <w:rPr>
          <w:rFonts w:ascii="Times New Roman" w:hAnsi="Times New Roman"/>
          <w:color w:val="000000"/>
        </w:rPr>
        <w:t>must be source</w:t>
      </w:r>
      <w:r w:rsidR="00752FA2">
        <w:rPr>
          <w:rFonts w:ascii="Times New Roman" w:hAnsi="Times New Roman"/>
          <w:color w:val="000000"/>
        </w:rPr>
        <w:t>d</w:t>
      </w:r>
      <w:r>
        <w:rPr>
          <w:rFonts w:ascii="Times New Roman" w:hAnsi="Times New Roman"/>
          <w:color w:val="000000"/>
        </w:rPr>
        <w:t xml:space="preserve"> from </w:t>
      </w:r>
      <w:r w:rsidRPr="00044C74">
        <w:rPr>
          <w:rFonts w:ascii="Times New Roman" w:hAnsi="Times New Roman"/>
          <w:color w:val="000000"/>
        </w:rPr>
        <w:t>entities that are properly registered with the FDA.</w:t>
      </w:r>
      <w:r>
        <w:rPr>
          <w:rFonts w:ascii="Times New Roman" w:hAnsi="Times New Roman"/>
          <w:color w:val="000000"/>
        </w:rPr>
        <w:t xml:space="preserve"> However, a recent report </w:t>
      </w:r>
      <w:r w:rsidR="004F25B9">
        <w:rPr>
          <w:rFonts w:ascii="Times New Roman" w:hAnsi="Times New Roman"/>
          <w:color w:val="000000"/>
        </w:rPr>
        <w:t xml:space="preserve">citing </w:t>
      </w:r>
      <w:r>
        <w:rPr>
          <w:rFonts w:ascii="Times New Roman" w:hAnsi="Times New Roman"/>
          <w:color w:val="000000"/>
        </w:rPr>
        <w:t xml:space="preserve">publicly available data finds that most of the </w:t>
      </w:r>
      <w:r w:rsidR="004F25B9">
        <w:rPr>
          <w:rFonts w:ascii="Times New Roman" w:hAnsi="Times New Roman"/>
          <w:color w:val="000000"/>
        </w:rPr>
        <w:t xml:space="preserve">API used in making compounded GLP-1 drugs </w:t>
      </w:r>
      <w:r w:rsidR="00752FA2">
        <w:rPr>
          <w:rFonts w:ascii="Times New Roman" w:hAnsi="Times New Roman"/>
          <w:color w:val="000000"/>
        </w:rPr>
        <w:t>are</w:t>
      </w:r>
      <w:r w:rsidR="004F25B9" w:rsidRPr="004F25B9">
        <w:rPr>
          <w:rFonts w:ascii="Times New Roman" w:hAnsi="Times New Roman"/>
        </w:rPr>
        <w:t xml:space="preserve"> from entities that are either not registered with the FDA or have never been inspected by the FDA to ensure compliance with </w:t>
      </w:r>
      <w:r w:rsidR="004F25B9">
        <w:rPr>
          <w:rFonts w:ascii="Times New Roman" w:hAnsi="Times New Roman"/>
        </w:rPr>
        <w:t xml:space="preserve">good manufacturing practices </w:t>
      </w:r>
      <w:r w:rsidR="004F25B9" w:rsidRPr="004F25B9">
        <w:rPr>
          <w:rFonts w:ascii="Times New Roman" w:hAnsi="Times New Roman"/>
        </w:rPr>
        <w:t>and other safety requirements.</w:t>
      </w:r>
      <w:r w:rsidR="004F25B9">
        <w:rPr>
          <w:rStyle w:val="FootnoteReference"/>
          <w:rFonts w:ascii="Times New Roman" w:hAnsi="Times New Roman"/>
        </w:rPr>
        <w:footnoteReference w:id="6"/>
      </w:r>
      <w:r w:rsidR="004F25B9">
        <w:rPr>
          <w:rFonts w:ascii="Times New Roman" w:hAnsi="Times New Roman"/>
        </w:rPr>
        <w:t xml:space="preserve"> Moreover, an a</w:t>
      </w:r>
      <w:r w:rsidR="004F25B9" w:rsidRPr="004F25B9">
        <w:rPr>
          <w:rFonts w:ascii="Times New Roman" w:hAnsi="Times New Roman"/>
        </w:rPr>
        <w:t>nalysis from the Brookings Institution detailed that the vast majority of these foreign API shipments come from Chin</w:t>
      </w:r>
      <w:r w:rsidR="004F25B9">
        <w:rPr>
          <w:rFonts w:ascii="Times New Roman" w:hAnsi="Times New Roman"/>
        </w:rPr>
        <w:t xml:space="preserve">a and have </w:t>
      </w:r>
      <w:r w:rsidR="0020452A">
        <w:rPr>
          <w:rFonts w:ascii="Times New Roman" w:hAnsi="Times New Roman"/>
        </w:rPr>
        <w:t>not</w:t>
      </w:r>
      <w:r w:rsidR="004F25B9">
        <w:rPr>
          <w:rFonts w:ascii="Times New Roman" w:hAnsi="Times New Roman"/>
        </w:rPr>
        <w:t xml:space="preserve"> been inspected for safety or quality.</w:t>
      </w:r>
      <w:r w:rsidR="0020452A">
        <w:rPr>
          <w:rStyle w:val="FootnoteReference"/>
          <w:rFonts w:ascii="Times New Roman" w:hAnsi="Times New Roman"/>
        </w:rPr>
        <w:footnoteReference w:id="7"/>
      </w:r>
    </w:p>
    <w:p w14:paraId="29DAE752" w14:textId="52D4C164" w:rsidR="00687FA0" w:rsidRDefault="00687FA0" w:rsidP="00C2271C">
      <w:pPr>
        <w:autoSpaceDE w:val="0"/>
        <w:autoSpaceDN w:val="0"/>
        <w:adjustRightInd w:val="0"/>
        <w:rPr>
          <w:rFonts w:ascii="Times New Roman" w:hAnsi="Times New Roman"/>
        </w:rPr>
      </w:pPr>
    </w:p>
    <w:p w14:paraId="4FCAC8B0" w14:textId="2122981F" w:rsidR="00687FA0" w:rsidRDefault="00687FA0" w:rsidP="00C2271C">
      <w:pPr>
        <w:autoSpaceDE w:val="0"/>
        <w:autoSpaceDN w:val="0"/>
        <w:adjustRightInd w:val="0"/>
        <w:rPr>
          <w:rFonts w:ascii="Times New Roman" w:hAnsi="Times New Roman"/>
          <w:color w:val="000000"/>
        </w:rPr>
      </w:pPr>
      <w:r w:rsidRPr="00687FA0">
        <w:rPr>
          <w:rFonts w:ascii="Times New Roman" w:hAnsi="Times New Roman"/>
          <w:color w:val="000000"/>
        </w:rPr>
        <w:t xml:space="preserve">To </w:t>
      </w:r>
      <w:r w:rsidR="00FF3303">
        <w:rPr>
          <w:rFonts w:ascii="Times New Roman" w:hAnsi="Times New Roman"/>
          <w:color w:val="000000"/>
        </w:rPr>
        <w:t>address</w:t>
      </w:r>
      <w:r>
        <w:rPr>
          <w:rFonts w:ascii="Times New Roman" w:hAnsi="Times New Roman"/>
          <w:color w:val="000000"/>
        </w:rPr>
        <w:t xml:space="preserve"> this situation, </w:t>
      </w:r>
      <w:r w:rsidR="0088021B">
        <w:rPr>
          <w:rFonts w:ascii="Times New Roman" w:hAnsi="Times New Roman"/>
          <w:color w:val="000000"/>
        </w:rPr>
        <w:t>on September 5, the</w:t>
      </w:r>
      <w:r>
        <w:rPr>
          <w:rFonts w:ascii="Times New Roman" w:hAnsi="Times New Roman"/>
          <w:color w:val="000000"/>
        </w:rPr>
        <w:t xml:space="preserve"> FDA</w:t>
      </w:r>
      <w:r w:rsidR="0088021B">
        <w:rPr>
          <w:rFonts w:ascii="Times New Roman" w:hAnsi="Times New Roman"/>
          <w:color w:val="000000"/>
        </w:rPr>
        <w:t xml:space="preserve"> announced the establishment of </w:t>
      </w:r>
      <w:r w:rsidRPr="00687FA0">
        <w:rPr>
          <w:rFonts w:ascii="Times New Roman" w:hAnsi="Times New Roman"/>
          <w:color w:val="000000"/>
        </w:rPr>
        <w:t>a “green list”</w:t>
      </w:r>
      <w:r>
        <w:rPr>
          <w:rFonts w:ascii="Times New Roman" w:hAnsi="Times New Roman"/>
          <w:color w:val="000000"/>
        </w:rPr>
        <w:t xml:space="preserve"> </w:t>
      </w:r>
      <w:r w:rsidR="0088021B">
        <w:rPr>
          <w:rFonts w:ascii="Times New Roman" w:hAnsi="Times New Roman"/>
          <w:color w:val="000000"/>
        </w:rPr>
        <w:t xml:space="preserve">import alert </w:t>
      </w:r>
      <w:r>
        <w:rPr>
          <w:rFonts w:ascii="Times New Roman" w:hAnsi="Times New Roman"/>
          <w:color w:val="000000"/>
        </w:rPr>
        <w:t xml:space="preserve">that will include </w:t>
      </w:r>
      <w:r w:rsidRPr="00687FA0">
        <w:rPr>
          <w:rFonts w:ascii="Times New Roman" w:hAnsi="Times New Roman"/>
          <w:color w:val="000000"/>
        </w:rPr>
        <w:t>GLP-1 APIs from facilities the agency has inspected or evaluated</w:t>
      </w:r>
      <w:r>
        <w:rPr>
          <w:rFonts w:ascii="Times New Roman" w:hAnsi="Times New Roman"/>
          <w:color w:val="000000"/>
        </w:rPr>
        <w:t xml:space="preserve"> and</w:t>
      </w:r>
      <w:r w:rsidR="00441932">
        <w:rPr>
          <w:rFonts w:ascii="Times New Roman" w:hAnsi="Times New Roman"/>
          <w:color w:val="000000"/>
        </w:rPr>
        <w:t xml:space="preserve">, according to the agency, “appear to be in compliance” with </w:t>
      </w:r>
      <w:r w:rsidR="002F4924">
        <w:rPr>
          <w:rFonts w:ascii="Times New Roman" w:hAnsi="Times New Roman"/>
          <w:color w:val="000000"/>
        </w:rPr>
        <w:t xml:space="preserve">the </w:t>
      </w:r>
      <w:r w:rsidR="00441932">
        <w:rPr>
          <w:rFonts w:ascii="Times New Roman" w:hAnsi="Times New Roman"/>
          <w:color w:val="000000"/>
        </w:rPr>
        <w:t>FDA’s standards that apply to all API’s manufactured in the U</w:t>
      </w:r>
      <w:r w:rsidR="002F4924">
        <w:rPr>
          <w:rFonts w:ascii="Times New Roman" w:hAnsi="Times New Roman"/>
          <w:color w:val="000000"/>
        </w:rPr>
        <w:t>.</w:t>
      </w:r>
      <w:r w:rsidR="00441932">
        <w:rPr>
          <w:rFonts w:ascii="Times New Roman" w:hAnsi="Times New Roman"/>
          <w:color w:val="000000"/>
        </w:rPr>
        <w:t xml:space="preserve">S. Further, </w:t>
      </w:r>
      <w:r w:rsidR="002F4924">
        <w:rPr>
          <w:rFonts w:ascii="Times New Roman" w:hAnsi="Times New Roman"/>
          <w:color w:val="000000"/>
        </w:rPr>
        <w:t xml:space="preserve">the </w:t>
      </w:r>
      <w:r w:rsidR="00441932">
        <w:rPr>
          <w:rFonts w:ascii="Times New Roman" w:hAnsi="Times New Roman"/>
          <w:color w:val="000000"/>
        </w:rPr>
        <w:t xml:space="preserve">FDA has stated that </w:t>
      </w:r>
      <w:r w:rsidR="00441932" w:rsidRPr="00441932">
        <w:rPr>
          <w:rFonts w:ascii="Times New Roman" w:hAnsi="Times New Roman"/>
          <w:color w:val="000000"/>
        </w:rPr>
        <w:t xml:space="preserve">APIs from other sources are subject to detention without physical examination. </w:t>
      </w:r>
      <w:r w:rsidR="002F4924">
        <w:rPr>
          <w:rFonts w:ascii="Times New Roman" w:hAnsi="Times New Roman"/>
          <w:color w:val="000000"/>
        </w:rPr>
        <w:t>NCL</w:t>
      </w:r>
      <w:r w:rsidR="00B452C7">
        <w:rPr>
          <w:rFonts w:ascii="Times New Roman" w:hAnsi="Times New Roman"/>
          <w:color w:val="000000"/>
        </w:rPr>
        <w:t xml:space="preserve"> applauds this action as a </w:t>
      </w:r>
      <w:r w:rsidR="00B452C7" w:rsidRPr="00B452C7">
        <w:rPr>
          <w:rFonts w:ascii="Times New Roman" w:hAnsi="Times New Roman"/>
          <w:color w:val="000000"/>
        </w:rPr>
        <w:t>proactive measure to help stop the entry of unverified foreign APIs into the U</w:t>
      </w:r>
      <w:r w:rsidR="002F4924">
        <w:rPr>
          <w:rFonts w:ascii="Times New Roman" w:hAnsi="Times New Roman"/>
          <w:color w:val="000000"/>
        </w:rPr>
        <w:t>.</w:t>
      </w:r>
      <w:r w:rsidR="00B452C7" w:rsidRPr="00B452C7">
        <w:rPr>
          <w:rFonts w:ascii="Times New Roman" w:hAnsi="Times New Roman"/>
          <w:color w:val="000000"/>
        </w:rPr>
        <w:t>S</w:t>
      </w:r>
      <w:r w:rsidR="002F4924">
        <w:rPr>
          <w:rFonts w:ascii="Times New Roman" w:hAnsi="Times New Roman"/>
          <w:color w:val="000000"/>
        </w:rPr>
        <w:t>.</w:t>
      </w:r>
      <w:r w:rsidR="00B452C7">
        <w:rPr>
          <w:rFonts w:ascii="Times New Roman" w:hAnsi="Times New Roman"/>
          <w:color w:val="000000"/>
        </w:rPr>
        <w:t xml:space="preserve"> </w:t>
      </w:r>
      <w:r w:rsidR="00C824A9">
        <w:rPr>
          <w:rFonts w:ascii="Times New Roman" w:hAnsi="Times New Roman"/>
          <w:color w:val="000000"/>
        </w:rPr>
        <w:t>Still,</w:t>
      </w:r>
      <w:r w:rsidR="00B452C7">
        <w:rPr>
          <w:rFonts w:ascii="Times New Roman" w:hAnsi="Times New Roman"/>
          <w:color w:val="000000"/>
        </w:rPr>
        <w:t xml:space="preserve"> we remain concerned that more will need to be done </w:t>
      </w:r>
      <w:r w:rsidR="004E6188">
        <w:rPr>
          <w:rFonts w:ascii="Times New Roman" w:hAnsi="Times New Roman"/>
          <w:color w:val="000000"/>
        </w:rPr>
        <w:t xml:space="preserve">to address the quality issues posed by </w:t>
      </w:r>
      <w:r w:rsidR="0019713D">
        <w:rPr>
          <w:rFonts w:ascii="Times New Roman" w:hAnsi="Times New Roman"/>
          <w:color w:val="000000"/>
        </w:rPr>
        <w:t>foreign-manufactured compounded GLP-1 drugs and</w:t>
      </w:r>
      <w:r w:rsidR="00752FA2">
        <w:rPr>
          <w:rFonts w:ascii="Times New Roman" w:hAnsi="Times New Roman"/>
          <w:color w:val="000000"/>
        </w:rPr>
        <w:t>,</w:t>
      </w:r>
      <w:r w:rsidR="0019713D">
        <w:rPr>
          <w:rFonts w:ascii="Times New Roman" w:hAnsi="Times New Roman"/>
          <w:color w:val="000000"/>
        </w:rPr>
        <w:t xml:space="preserve"> more generally, to reduce pharmaceutical supply chain risks. </w:t>
      </w:r>
    </w:p>
    <w:p w14:paraId="63B72E3F" w14:textId="77777777" w:rsidR="0019713D" w:rsidRDefault="0019713D" w:rsidP="00C2271C">
      <w:pPr>
        <w:autoSpaceDE w:val="0"/>
        <w:autoSpaceDN w:val="0"/>
        <w:adjustRightInd w:val="0"/>
        <w:rPr>
          <w:rFonts w:ascii="Times New Roman" w:hAnsi="Times New Roman"/>
          <w:color w:val="000000"/>
        </w:rPr>
      </w:pPr>
    </w:p>
    <w:p w14:paraId="79D8C8FC" w14:textId="35A649A0" w:rsidR="00EF6DB2" w:rsidRPr="00F26F07" w:rsidRDefault="0019713D" w:rsidP="002C62E9">
      <w:pPr>
        <w:autoSpaceDE w:val="0"/>
        <w:autoSpaceDN w:val="0"/>
        <w:adjustRightInd w:val="0"/>
        <w:rPr>
          <w:rFonts w:ascii="Cambria" w:hAnsi="Cambria"/>
        </w:rPr>
      </w:pPr>
      <w:r>
        <w:rPr>
          <w:rFonts w:ascii="Times New Roman" w:hAnsi="Times New Roman"/>
          <w:color w:val="000000"/>
        </w:rPr>
        <w:t xml:space="preserve">Speaking for America’s consumers, and especially older adults who are at greater risk for harm </w:t>
      </w:r>
      <w:r w:rsidR="007F4831">
        <w:rPr>
          <w:rFonts w:ascii="Times New Roman" w:hAnsi="Times New Roman"/>
          <w:color w:val="000000"/>
        </w:rPr>
        <w:t xml:space="preserve">if drugs contain potentially unsafe ingredients, </w:t>
      </w:r>
      <w:r w:rsidR="002F4924">
        <w:rPr>
          <w:rFonts w:ascii="Times New Roman" w:hAnsi="Times New Roman"/>
          <w:color w:val="000000"/>
        </w:rPr>
        <w:t>NCL</w:t>
      </w:r>
      <w:r w:rsidR="007F4831">
        <w:rPr>
          <w:rFonts w:ascii="Times New Roman" w:hAnsi="Times New Roman"/>
          <w:color w:val="000000"/>
        </w:rPr>
        <w:t xml:space="preserve"> thanks the Select Committee for seeking solutions to reduce the serious threats posed by quality issues in foreign-manufactured pharmaceutical products. </w:t>
      </w:r>
      <w:r w:rsidR="0021487D">
        <w:rPr>
          <w:rFonts w:ascii="Times New Roman" w:hAnsi="Times New Roman"/>
          <w:color w:val="000000"/>
        </w:rPr>
        <w:t xml:space="preserve">We appreciate the opportunity to share our insights and hope these comments will be helpful. </w:t>
      </w:r>
    </w:p>
    <w:p w14:paraId="799B8B5A" w14:textId="77777777" w:rsidR="004E4C1E" w:rsidRPr="00F26F07" w:rsidRDefault="004E4C1E" w:rsidP="00EF6DB2">
      <w:pPr>
        <w:autoSpaceDE w:val="0"/>
        <w:autoSpaceDN w:val="0"/>
        <w:adjustRightInd w:val="0"/>
        <w:rPr>
          <w:rFonts w:ascii="Cambria" w:hAnsi="Cambria"/>
        </w:rPr>
      </w:pPr>
    </w:p>
    <w:p w14:paraId="549783DE" w14:textId="0195B28F" w:rsidR="002D7BAB" w:rsidRPr="00891CE8" w:rsidRDefault="002D7BAB" w:rsidP="007F122F">
      <w:pPr>
        <w:autoSpaceDE w:val="0"/>
        <w:autoSpaceDN w:val="0"/>
        <w:adjustRightInd w:val="0"/>
        <w:jc w:val="both"/>
        <w:rPr>
          <w:rFonts w:ascii="Cambria" w:hAnsi="Cambria"/>
        </w:rPr>
      </w:pPr>
      <w:r w:rsidRPr="00891CE8">
        <w:rPr>
          <w:rFonts w:ascii="Cambria" w:hAnsi="Cambria"/>
        </w:rPr>
        <w:t xml:space="preserve">Sincerely, </w:t>
      </w:r>
    </w:p>
    <w:p w14:paraId="1E9A75DF" w14:textId="09AF78E1" w:rsidR="002D7BAB" w:rsidRPr="00891CE8" w:rsidRDefault="00FF3303" w:rsidP="007F122F">
      <w:pPr>
        <w:autoSpaceDE w:val="0"/>
        <w:autoSpaceDN w:val="0"/>
        <w:adjustRightInd w:val="0"/>
        <w:jc w:val="both"/>
        <w:rPr>
          <w:rFonts w:ascii="Cambria" w:hAnsi="Cambria"/>
        </w:rPr>
      </w:pPr>
      <w:r w:rsidRPr="00891CE8">
        <w:rPr>
          <w:rFonts w:ascii="Cambria" w:hAnsi="Cambria"/>
          <w:noProof/>
        </w:rPr>
        <w:drawing>
          <wp:inline distT="0" distB="0" distL="0" distR="0" wp14:anchorId="2BBD14C0" wp14:editId="0FD1C865">
            <wp:extent cx="1752600" cy="365760"/>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0000" t="28349" r="30513" b="62134"/>
                    <a:stretch/>
                  </pic:blipFill>
                  <pic:spPr bwMode="auto">
                    <a:xfrm>
                      <a:off x="0" y="0"/>
                      <a:ext cx="1752600" cy="365760"/>
                    </a:xfrm>
                    <a:prstGeom prst="rect">
                      <a:avLst/>
                    </a:prstGeom>
                    <a:noFill/>
                    <a:ln>
                      <a:noFill/>
                    </a:ln>
                    <a:extLst>
                      <a:ext uri="{53640926-AAD7-44D8-BBD7-CCE9431645EC}">
                        <a14:shadowObscured xmlns:a14="http://schemas.microsoft.com/office/drawing/2010/main"/>
                      </a:ext>
                    </a:extLst>
                  </pic:spPr>
                </pic:pic>
              </a:graphicData>
            </a:graphic>
          </wp:inline>
        </w:drawing>
      </w:r>
    </w:p>
    <w:p w14:paraId="5BBDEA4F" w14:textId="7E017878" w:rsidR="002D7BAB" w:rsidRPr="00891CE8" w:rsidRDefault="002D7BAB" w:rsidP="002D7BAB">
      <w:pPr>
        <w:rPr>
          <w:rFonts w:ascii="Cambria" w:eastAsia="Calibri" w:hAnsi="Cambria"/>
        </w:rPr>
      </w:pPr>
      <w:r w:rsidRPr="00891CE8">
        <w:rPr>
          <w:rFonts w:ascii="Cambria" w:eastAsia="Calibri" w:hAnsi="Cambria"/>
        </w:rPr>
        <w:t>Nancy Glick, Director, Food &amp; Nutrition Policy</w:t>
      </w:r>
    </w:p>
    <w:p w14:paraId="1FD2CECA" w14:textId="77777777" w:rsidR="002D7BAB" w:rsidRPr="00891CE8" w:rsidRDefault="002D7BAB" w:rsidP="002D7BAB">
      <w:pPr>
        <w:rPr>
          <w:rFonts w:ascii="Cambria" w:eastAsia="Calibri" w:hAnsi="Cambria"/>
        </w:rPr>
      </w:pPr>
      <w:r w:rsidRPr="00891CE8">
        <w:rPr>
          <w:rFonts w:ascii="Cambria" w:eastAsia="Calibri" w:hAnsi="Cambria"/>
        </w:rPr>
        <w:t>National Consumers League</w:t>
      </w:r>
    </w:p>
    <w:p w14:paraId="59F33B70" w14:textId="7D953AC5" w:rsidR="002D7BAB" w:rsidRPr="00891CE8" w:rsidRDefault="002D7BAB" w:rsidP="00FF3303">
      <w:pPr>
        <w:rPr>
          <w:rFonts w:ascii="Cambria" w:hAnsi="Cambria" w:cstheme="minorBidi"/>
          <w:szCs w:val="22"/>
        </w:rPr>
      </w:pPr>
      <w:hyperlink r:id="rId13" w:history="1">
        <w:r w:rsidRPr="00891CE8">
          <w:rPr>
            <w:rStyle w:val="Hyperlink"/>
            <w:rFonts w:ascii="Cambria" w:eastAsia="Calibri" w:hAnsi="Cambria"/>
          </w:rPr>
          <w:t>nancyg@nclnet.org</w:t>
        </w:r>
      </w:hyperlink>
    </w:p>
    <w:sectPr w:rsidR="002D7BAB" w:rsidRPr="00891CE8" w:rsidSect="002D7BAB">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82C97" w14:textId="77777777" w:rsidR="00352C1A" w:rsidRDefault="00352C1A" w:rsidP="00A56BE8">
      <w:r>
        <w:separator/>
      </w:r>
    </w:p>
  </w:endnote>
  <w:endnote w:type="continuationSeparator" w:id="0">
    <w:p w14:paraId="1691903D" w14:textId="77777777" w:rsidR="00352C1A" w:rsidRDefault="00352C1A" w:rsidP="00A5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rPr>
      <w:id w:val="1607387677"/>
      <w:docPartObj>
        <w:docPartGallery w:val="Page Numbers (Bottom of Page)"/>
        <w:docPartUnique/>
      </w:docPartObj>
    </w:sdtPr>
    <w:sdtEndPr>
      <w:rPr>
        <w:noProof/>
      </w:rPr>
    </w:sdtEndPr>
    <w:sdtContent>
      <w:p w14:paraId="20999271" w14:textId="77777777" w:rsidR="004A0547" w:rsidRPr="0004296A" w:rsidRDefault="00A56BE8">
        <w:pPr>
          <w:pStyle w:val="Footer"/>
          <w:jc w:val="right"/>
          <w:rPr>
            <w:sz w:val="22"/>
          </w:rPr>
        </w:pPr>
        <w:r w:rsidRPr="0004296A">
          <w:rPr>
            <w:sz w:val="22"/>
          </w:rPr>
          <w:fldChar w:fldCharType="begin"/>
        </w:r>
        <w:r w:rsidRPr="0004296A">
          <w:rPr>
            <w:sz w:val="22"/>
          </w:rPr>
          <w:instrText xml:space="preserve"> PAGE   \* MERGEFORMAT </w:instrText>
        </w:r>
        <w:r w:rsidRPr="0004296A">
          <w:rPr>
            <w:sz w:val="22"/>
          </w:rPr>
          <w:fldChar w:fldCharType="separate"/>
        </w:r>
        <w:r>
          <w:rPr>
            <w:noProof/>
            <w:sz w:val="22"/>
          </w:rPr>
          <w:t>1</w:t>
        </w:r>
        <w:r w:rsidRPr="0004296A">
          <w:rPr>
            <w:noProof/>
            <w:sz w:val="22"/>
          </w:rPr>
          <w:fldChar w:fldCharType="end"/>
        </w:r>
      </w:p>
    </w:sdtContent>
  </w:sdt>
  <w:p w14:paraId="3E93B13F" w14:textId="77777777" w:rsidR="004A0547" w:rsidRDefault="004A0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9050E" w14:textId="77777777" w:rsidR="00352C1A" w:rsidRDefault="00352C1A" w:rsidP="00A56BE8">
      <w:r>
        <w:separator/>
      </w:r>
    </w:p>
  </w:footnote>
  <w:footnote w:type="continuationSeparator" w:id="0">
    <w:p w14:paraId="49CB4694" w14:textId="77777777" w:rsidR="00352C1A" w:rsidRDefault="00352C1A" w:rsidP="00A56BE8">
      <w:r>
        <w:continuationSeparator/>
      </w:r>
    </w:p>
  </w:footnote>
  <w:footnote w:id="1">
    <w:p w14:paraId="10BE3477" w14:textId="77777777" w:rsidR="00744EC8" w:rsidRDefault="00744EC8" w:rsidP="00744EC8">
      <w:pPr>
        <w:pStyle w:val="FootnoteText"/>
      </w:pPr>
      <w:r>
        <w:rPr>
          <w:rStyle w:val="FootnoteReference"/>
        </w:rPr>
        <w:footnoteRef/>
      </w:r>
      <w:r>
        <w:t xml:space="preserve"> </w:t>
      </w:r>
      <w:r w:rsidRPr="0041346A">
        <w:rPr>
          <w:rFonts w:ascii="Times New Roman" w:hAnsi="Times New Roman" w:cs="Times New Roman"/>
          <w:sz w:val="18"/>
          <w:szCs w:val="18"/>
        </w:rPr>
        <w:t>Food and Drug Administration</w:t>
      </w:r>
      <w:r>
        <w:rPr>
          <w:rFonts w:ascii="Times New Roman" w:hAnsi="Times New Roman" w:cs="Times New Roman"/>
          <w:sz w:val="18"/>
          <w:szCs w:val="18"/>
        </w:rPr>
        <w:t>. Human Drug Compounding Laws. December 17, 2024. Accessible at:</w:t>
      </w:r>
      <w:r w:rsidRPr="00EE4E25">
        <w:t xml:space="preserve"> </w:t>
      </w:r>
      <w:hyperlink r:id="rId1" w:history="1">
        <w:r w:rsidRPr="00361288">
          <w:rPr>
            <w:rStyle w:val="Hyperlink"/>
            <w:rFonts w:ascii="Times New Roman" w:hAnsi="Times New Roman" w:cs="Times New Roman"/>
            <w:sz w:val="18"/>
            <w:szCs w:val="18"/>
          </w:rPr>
          <w:t>https://www.fda.gov/drugs/human-drug-compounding/human-drug-compounding-laws</w:t>
        </w:r>
      </w:hyperlink>
    </w:p>
  </w:footnote>
  <w:footnote w:id="2">
    <w:p w14:paraId="40609C79" w14:textId="56783E5C" w:rsidR="00ED5F10" w:rsidRDefault="00ED5F10">
      <w:pPr>
        <w:pStyle w:val="FootnoteText"/>
      </w:pPr>
      <w:r>
        <w:rPr>
          <w:rStyle w:val="FootnoteReference"/>
        </w:rPr>
        <w:footnoteRef/>
      </w:r>
      <w:r>
        <w:t xml:space="preserve"> </w:t>
      </w:r>
      <w:r w:rsidRPr="00ED5F10">
        <w:rPr>
          <w:rFonts w:ascii="Times New Roman" w:hAnsi="Times New Roman" w:cs="Times New Roman"/>
          <w:sz w:val="18"/>
          <w:szCs w:val="18"/>
        </w:rPr>
        <w:t xml:space="preserve">Food and Drug Administration. FDA’s Concerns with Unapproved GLP-1 Drugs Used for Weight Loss. September 5, 2025. Accessible at: </w:t>
      </w:r>
      <w:hyperlink r:id="rId2" w:history="1">
        <w:r w:rsidRPr="00ED5F10">
          <w:rPr>
            <w:rStyle w:val="Hyperlink"/>
            <w:rFonts w:ascii="Times New Roman" w:hAnsi="Times New Roman" w:cs="Times New Roman"/>
            <w:sz w:val="18"/>
            <w:szCs w:val="18"/>
          </w:rPr>
          <w:t>https://www.fda.gov/drugs/postmarket-drug-safety-information-patients-and-providers/fdas-concerns-unapproved-glp-1-drugs-used-weight-loss</w:t>
        </w:r>
      </w:hyperlink>
    </w:p>
  </w:footnote>
  <w:footnote w:id="3">
    <w:p w14:paraId="36A7574E" w14:textId="5CAE4450" w:rsidR="00744EC8" w:rsidRPr="00744EC8" w:rsidRDefault="00744EC8">
      <w:pPr>
        <w:pStyle w:val="FootnoteText"/>
        <w:rPr>
          <w:rFonts w:ascii="Times New Roman" w:hAnsi="Times New Roman" w:cs="Times New Roman"/>
          <w:sz w:val="18"/>
          <w:szCs w:val="18"/>
        </w:rPr>
      </w:pPr>
      <w:r>
        <w:rPr>
          <w:rStyle w:val="FootnoteReference"/>
        </w:rPr>
        <w:footnoteRef/>
      </w:r>
      <w:r>
        <w:t xml:space="preserve"> </w:t>
      </w:r>
      <w:r w:rsidRPr="00744EC8">
        <w:rPr>
          <w:rFonts w:ascii="Aptos" w:eastAsia="Times New Roman" w:hAnsi="Aptos" w:cs="Times New Roman"/>
          <w:color w:val="000000"/>
          <w:lang w:eastAsia="en-US" w:bidi="ar-SA"/>
        </w:rPr>
        <w:t> </w:t>
      </w:r>
      <w:r w:rsidRPr="00744EC8">
        <w:rPr>
          <w:rFonts w:ascii="Times New Roman" w:eastAsia="Times New Roman" w:hAnsi="Times New Roman" w:cs="Times New Roman"/>
          <w:color w:val="000000"/>
          <w:sz w:val="18"/>
          <w:szCs w:val="18"/>
          <w:lang w:eastAsia="en-US" w:bidi="ar-SA"/>
        </w:rPr>
        <w:t xml:space="preserve">Food and Drug Administration. </w:t>
      </w:r>
      <w:hyperlink r:id="rId3" w:history="1">
        <w:r w:rsidRPr="00744EC8">
          <w:rPr>
            <w:rFonts w:ascii="Times New Roman" w:eastAsia="Times New Roman" w:hAnsi="Times New Roman" w:cs="Times New Roman"/>
            <w:color w:val="1155CC"/>
            <w:sz w:val="18"/>
            <w:szCs w:val="18"/>
            <w:u w:val="single"/>
            <w:lang w:eastAsia="en-US" w:bidi="ar-SA"/>
          </w:rPr>
          <w:t>FDA Adverse Events Reporting System Public Dashboard</w:t>
        </w:r>
      </w:hyperlink>
      <w:r w:rsidRPr="00744EC8">
        <w:rPr>
          <w:rFonts w:ascii="Times New Roman" w:eastAsia="Times New Roman" w:hAnsi="Times New Roman" w:cs="Times New Roman"/>
          <w:color w:val="000000"/>
          <w:sz w:val="18"/>
          <w:szCs w:val="18"/>
          <w:lang w:eastAsia="en-US" w:bidi="ar-SA"/>
        </w:rPr>
        <w:t>,data on compounded September 9, 2025</w:t>
      </w:r>
    </w:p>
  </w:footnote>
  <w:footnote w:id="4">
    <w:p w14:paraId="102380DB" w14:textId="4E74A919" w:rsidR="00434B66" w:rsidRDefault="00434B66">
      <w:pPr>
        <w:pStyle w:val="FootnoteText"/>
      </w:pPr>
      <w:r>
        <w:rPr>
          <w:rStyle w:val="FootnoteReference"/>
        </w:rPr>
        <w:footnoteRef/>
      </w:r>
      <w:r>
        <w:t xml:space="preserve"> </w:t>
      </w:r>
      <w:r w:rsidRPr="00434B66">
        <w:rPr>
          <w:rFonts w:ascii="Times New Roman" w:eastAsia="Times New Roman" w:hAnsi="Times New Roman" w:cs="Times New Roman"/>
          <w:color w:val="000000"/>
          <w:sz w:val="18"/>
          <w:szCs w:val="18"/>
          <w:lang w:eastAsia="en-US" w:bidi="ar-SA"/>
        </w:rPr>
        <w:t xml:space="preserve">America’s Poison Centers. </w:t>
      </w:r>
      <w:hyperlink r:id="rId4" w:history="1">
        <w:r w:rsidRPr="00434B66">
          <w:rPr>
            <w:rFonts w:ascii="Times New Roman" w:eastAsia="Times New Roman" w:hAnsi="Times New Roman" w:cs="Times New Roman"/>
            <w:color w:val="1155CC"/>
            <w:sz w:val="18"/>
            <w:szCs w:val="18"/>
            <w:u w:val="single"/>
            <w:lang w:eastAsia="en-US" w:bidi="ar-SA"/>
          </w:rPr>
          <w:t>Glucagon-Like Peptide-1 (GLP-1) Agonists</w:t>
        </w:r>
      </w:hyperlink>
      <w:r w:rsidRPr="00434B66">
        <w:rPr>
          <w:rFonts w:ascii="Times New Roman" w:eastAsia="Times New Roman" w:hAnsi="Times New Roman" w:cs="Times New Roman"/>
          <w:color w:val="000000"/>
          <w:sz w:val="18"/>
          <w:szCs w:val="18"/>
          <w:lang w:eastAsia="en-US" w:bidi="ar-SA"/>
        </w:rPr>
        <w:t>.</w:t>
      </w:r>
    </w:p>
  </w:footnote>
  <w:footnote w:id="5">
    <w:p w14:paraId="4C5C8964" w14:textId="5BD87598" w:rsidR="00957802" w:rsidRDefault="00957802">
      <w:pPr>
        <w:pStyle w:val="FootnoteText"/>
      </w:pPr>
      <w:r>
        <w:rPr>
          <w:rStyle w:val="FootnoteReference"/>
        </w:rPr>
        <w:footnoteRef/>
      </w:r>
      <w:r>
        <w:t xml:space="preserve"> </w:t>
      </w:r>
      <w:r w:rsidRPr="00957802">
        <w:rPr>
          <w:rFonts w:ascii="Times New Roman" w:hAnsi="Times New Roman" w:cs="Times New Roman"/>
          <w:sz w:val="18"/>
          <w:szCs w:val="18"/>
        </w:rPr>
        <w:t xml:space="preserve">Are GLP-1 Weight Loss Medications Safe for People Over Age 65? Harbor Health. February 28, 2024. Accessible at: </w:t>
      </w:r>
      <w:hyperlink r:id="rId5" w:history="1">
        <w:r w:rsidRPr="00957802">
          <w:rPr>
            <w:rStyle w:val="Hyperlink"/>
            <w:rFonts w:ascii="Times New Roman" w:hAnsi="Times New Roman" w:cs="Times New Roman"/>
            <w:sz w:val="18"/>
            <w:szCs w:val="18"/>
          </w:rPr>
          <w:t>https://harborhealth.com/blog/health-tips/are-glp-1-weight-loss-medications-safe-for-people-over-65</w:t>
        </w:r>
      </w:hyperlink>
    </w:p>
  </w:footnote>
  <w:footnote w:id="6">
    <w:p w14:paraId="0CAEE7E5" w14:textId="74F5233E" w:rsidR="004F25B9" w:rsidRPr="0020452A" w:rsidRDefault="004F25B9">
      <w:pPr>
        <w:pStyle w:val="FootnoteText"/>
        <w:rPr>
          <w:rFonts w:ascii="Times New Roman" w:hAnsi="Times New Roman" w:cs="Times New Roman"/>
          <w:sz w:val="18"/>
          <w:szCs w:val="18"/>
        </w:rPr>
      </w:pPr>
      <w:r>
        <w:rPr>
          <w:rStyle w:val="FootnoteReference"/>
        </w:rPr>
        <w:footnoteRef/>
      </w:r>
      <w:r>
        <w:t xml:space="preserve"> </w:t>
      </w:r>
      <w:r w:rsidRPr="0020452A">
        <w:rPr>
          <w:rFonts w:ascii="Times New Roman" w:hAnsi="Times New Roman" w:cs="Times New Roman"/>
          <w:sz w:val="18"/>
          <w:szCs w:val="18"/>
        </w:rPr>
        <w:t xml:space="preserve">Center for Medicine in the Public Interest. FDA Regulatory Failures in Enforcing Limits on GLP-1 Compounding Puts Patients at Risk. </w:t>
      </w:r>
      <w:r w:rsidR="0020452A" w:rsidRPr="0020452A">
        <w:rPr>
          <w:rFonts w:ascii="Times New Roman" w:hAnsi="Times New Roman" w:cs="Times New Roman"/>
          <w:sz w:val="18"/>
          <w:szCs w:val="18"/>
        </w:rPr>
        <w:t xml:space="preserve">July 22,2025. </w:t>
      </w:r>
    </w:p>
  </w:footnote>
  <w:footnote w:id="7">
    <w:p w14:paraId="03F3F3D7" w14:textId="589A399D" w:rsidR="0020452A" w:rsidRPr="0020452A" w:rsidRDefault="0020452A">
      <w:pPr>
        <w:pStyle w:val="FootnoteText"/>
        <w:rPr>
          <w:rFonts w:ascii="Times New Roman" w:hAnsi="Times New Roman" w:cs="Times New Roman"/>
          <w:sz w:val="18"/>
          <w:szCs w:val="18"/>
        </w:rPr>
      </w:pPr>
      <w:r>
        <w:rPr>
          <w:rStyle w:val="FootnoteReference"/>
        </w:rPr>
        <w:footnoteRef/>
      </w:r>
      <w:r>
        <w:t xml:space="preserve"> </w:t>
      </w:r>
      <w:r w:rsidRPr="0020452A">
        <w:rPr>
          <w:rFonts w:ascii="Times New Roman" w:hAnsi="Times New Roman" w:cs="Times New Roman"/>
          <w:sz w:val="18"/>
          <w:szCs w:val="18"/>
        </w:rPr>
        <w:t>Brookings Institution. Wosińska,</w:t>
      </w:r>
      <w:r w:rsidR="0057646B">
        <w:rPr>
          <w:rFonts w:ascii="Times New Roman" w:hAnsi="Times New Roman" w:cs="Times New Roman"/>
          <w:sz w:val="18"/>
          <w:szCs w:val="18"/>
        </w:rPr>
        <w:t xml:space="preserve"> </w:t>
      </w:r>
      <w:r w:rsidRPr="0020452A">
        <w:rPr>
          <w:rFonts w:ascii="Times New Roman" w:hAnsi="Times New Roman" w:cs="Times New Roman"/>
          <w:sz w:val="18"/>
          <w:szCs w:val="18"/>
        </w:rPr>
        <w:t xml:space="preserve">ME et al. US drug supply chain exposure to China: Myths, omissions and related insights. July 28, 2025. Accessible at: </w:t>
      </w:r>
      <w:hyperlink r:id="rId6" w:history="1">
        <w:r w:rsidRPr="0020452A">
          <w:rPr>
            <w:rStyle w:val="Hyperlink"/>
            <w:rFonts w:ascii="Times New Roman" w:hAnsi="Times New Roman" w:cs="Times New Roman"/>
            <w:sz w:val="18"/>
            <w:szCs w:val="18"/>
          </w:rPr>
          <w:t>https://www.brookings.edu/articles/us-drug-supply-chain-exposure-to-china/</w:t>
        </w:r>
      </w:hyperlink>
    </w:p>
    <w:p w14:paraId="499A5D8F" w14:textId="77777777" w:rsidR="0020452A" w:rsidRDefault="0020452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627DE"/>
    <w:multiLevelType w:val="hybridMultilevel"/>
    <w:tmpl w:val="5D6C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7521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BE8"/>
    <w:rsid w:val="00014237"/>
    <w:rsid w:val="00027617"/>
    <w:rsid w:val="00031FC2"/>
    <w:rsid w:val="00044C74"/>
    <w:rsid w:val="000678FB"/>
    <w:rsid w:val="001566DF"/>
    <w:rsid w:val="00175322"/>
    <w:rsid w:val="001802F5"/>
    <w:rsid w:val="00186DF0"/>
    <w:rsid w:val="0019713D"/>
    <w:rsid w:val="001C1F83"/>
    <w:rsid w:val="001D0183"/>
    <w:rsid w:val="001D5328"/>
    <w:rsid w:val="0020452A"/>
    <w:rsid w:val="0021487D"/>
    <w:rsid w:val="0023559B"/>
    <w:rsid w:val="00271386"/>
    <w:rsid w:val="00297240"/>
    <w:rsid w:val="002A116A"/>
    <w:rsid w:val="002C0557"/>
    <w:rsid w:val="002C62E9"/>
    <w:rsid w:val="002D1BB2"/>
    <w:rsid w:val="002D7BAB"/>
    <w:rsid w:val="002E26EC"/>
    <w:rsid w:val="002E4286"/>
    <w:rsid w:val="002F4924"/>
    <w:rsid w:val="0032040B"/>
    <w:rsid w:val="00320C20"/>
    <w:rsid w:val="00324B28"/>
    <w:rsid w:val="00351A73"/>
    <w:rsid w:val="00352C1A"/>
    <w:rsid w:val="003A13A6"/>
    <w:rsid w:val="003C30CF"/>
    <w:rsid w:val="00414104"/>
    <w:rsid w:val="0042498B"/>
    <w:rsid w:val="00434B66"/>
    <w:rsid w:val="00441932"/>
    <w:rsid w:val="00467F70"/>
    <w:rsid w:val="00470A55"/>
    <w:rsid w:val="004A0547"/>
    <w:rsid w:val="004C737C"/>
    <w:rsid w:val="004E3474"/>
    <w:rsid w:val="004E4C1E"/>
    <w:rsid w:val="004E6188"/>
    <w:rsid w:val="004F25B9"/>
    <w:rsid w:val="005315AA"/>
    <w:rsid w:val="00547319"/>
    <w:rsid w:val="0057646B"/>
    <w:rsid w:val="00586896"/>
    <w:rsid w:val="00613875"/>
    <w:rsid w:val="00630E14"/>
    <w:rsid w:val="0068152E"/>
    <w:rsid w:val="00687FA0"/>
    <w:rsid w:val="00693B8E"/>
    <w:rsid w:val="0069677B"/>
    <w:rsid w:val="006C2FBF"/>
    <w:rsid w:val="006D23CE"/>
    <w:rsid w:val="00716C96"/>
    <w:rsid w:val="00744AA9"/>
    <w:rsid w:val="00744EC8"/>
    <w:rsid w:val="00752FA2"/>
    <w:rsid w:val="0075706F"/>
    <w:rsid w:val="00762D51"/>
    <w:rsid w:val="007978D7"/>
    <w:rsid w:val="007A6DD6"/>
    <w:rsid w:val="007F122F"/>
    <w:rsid w:val="007F4831"/>
    <w:rsid w:val="008178B0"/>
    <w:rsid w:val="00817C15"/>
    <w:rsid w:val="00822A08"/>
    <w:rsid w:val="0088021B"/>
    <w:rsid w:val="00891CE8"/>
    <w:rsid w:val="00891D66"/>
    <w:rsid w:val="008B6902"/>
    <w:rsid w:val="00942835"/>
    <w:rsid w:val="00957802"/>
    <w:rsid w:val="009D2C56"/>
    <w:rsid w:val="009D45F8"/>
    <w:rsid w:val="009D5D14"/>
    <w:rsid w:val="009D64D9"/>
    <w:rsid w:val="009F0470"/>
    <w:rsid w:val="00A02BC1"/>
    <w:rsid w:val="00A47BF6"/>
    <w:rsid w:val="00A5398C"/>
    <w:rsid w:val="00A541A3"/>
    <w:rsid w:val="00A56BE8"/>
    <w:rsid w:val="00A60FE9"/>
    <w:rsid w:val="00A73DA0"/>
    <w:rsid w:val="00A87DFB"/>
    <w:rsid w:val="00AE67EA"/>
    <w:rsid w:val="00B016E1"/>
    <w:rsid w:val="00B20616"/>
    <w:rsid w:val="00B26870"/>
    <w:rsid w:val="00B344BA"/>
    <w:rsid w:val="00B452C7"/>
    <w:rsid w:val="00B46ED4"/>
    <w:rsid w:val="00BA772D"/>
    <w:rsid w:val="00BB39A1"/>
    <w:rsid w:val="00BC3F5C"/>
    <w:rsid w:val="00C2271C"/>
    <w:rsid w:val="00C34376"/>
    <w:rsid w:val="00C72E7E"/>
    <w:rsid w:val="00C824A9"/>
    <w:rsid w:val="00C916B7"/>
    <w:rsid w:val="00CA1544"/>
    <w:rsid w:val="00CB0B17"/>
    <w:rsid w:val="00D67EBC"/>
    <w:rsid w:val="00D943BF"/>
    <w:rsid w:val="00DC6A24"/>
    <w:rsid w:val="00DE3A3A"/>
    <w:rsid w:val="00DF24F5"/>
    <w:rsid w:val="00E24B21"/>
    <w:rsid w:val="00E31BA0"/>
    <w:rsid w:val="00E70E7C"/>
    <w:rsid w:val="00EB2AB8"/>
    <w:rsid w:val="00ED2E11"/>
    <w:rsid w:val="00ED5F10"/>
    <w:rsid w:val="00EF6DB2"/>
    <w:rsid w:val="00F26F07"/>
    <w:rsid w:val="00F61A93"/>
    <w:rsid w:val="00FB1495"/>
    <w:rsid w:val="00FB3521"/>
    <w:rsid w:val="00FD7D7F"/>
    <w:rsid w:val="00FF3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76DD"/>
  <w15:chartTrackingRefBased/>
  <w15:docId w15:val="{CADBCA50-208D-45A7-A688-C9E9C53F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BE8"/>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BE8"/>
    <w:rPr>
      <w:color w:val="0563C1" w:themeColor="hyperlink"/>
      <w:u w:val="single"/>
    </w:rPr>
  </w:style>
  <w:style w:type="paragraph" w:styleId="FootnoteText">
    <w:name w:val="footnote text"/>
    <w:aliases w:val="Footnote Text Char2,Footnote Text Char Char,Foo... + 9 pt,Footnote Text C"/>
    <w:basedOn w:val="Normal"/>
    <w:link w:val="FootnoteTextChar"/>
    <w:uiPriority w:val="99"/>
    <w:unhideWhenUsed/>
    <w:qFormat/>
    <w:rsid w:val="00A56BE8"/>
    <w:rPr>
      <w:rFonts w:asciiTheme="minorHAnsi" w:eastAsiaTheme="minorEastAsia" w:hAnsiTheme="minorHAnsi" w:cstheme="minorBidi"/>
      <w:sz w:val="20"/>
      <w:szCs w:val="20"/>
      <w:lang w:eastAsia="zh-CN" w:bidi="he-IL"/>
    </w:rPr>
  </w:style>
  <w:style w:type="character" w:customStyle="1" w:styleId="FootnoteTextChar">
    <w:name w:val="Footnote Text Char"/>
    <w:aliases w:val="Footnote Text Char2 Char,Footnote Text Char Char Char,Foo... + 9 pt Char,Footnote Text C Char"/>
    <w:basedOn w:val="DefaultParagraphFont"/>
    <w:link w:val="FootnoteText"/>
    <w:uiPriority w:val="99"/>
    <w:rsid w:val="00A56BE8"/>
    <w:rPr>
      <w:rFonts w:eastAsiaTheme="minorEastAsia"/>
      <w:sz w:val="20"/>
      <w:szCs w:val="20"/>
      <w:lang w:eastAsia="zh-CN" w:bidi="he-IL"/>
    </w:rPr>
  </w:style>
  <w:style w:type="character" w:styleId="FootnoteReference">
    <w:name w:val="footnote reference"/>
    <w:basedOn w:val="DefaultParagraphFont"/>
    <w:rsid w:val="00A56BE8"/>
    <w:rPr>
      <w:vertAlign w:val="superscript"/>
      <w:lang w:val="en-US"/>
    </w:rPr>
  </w:style>
  <w:style w:type="paragraph" w:styleId="Footer">
    <w:name w:val="footer"/>
    <w:basedOn w:val="Normal"/>
    <w:link w:val="FooterChar"/>
    <w:uiPriority w:val="99"/>
    <w:unhideWhenUsed/>
    <w:rsid w:val="00A56BE8"/>
    <w:pPr>
      <w:tabs>
        <w:tab w:val="center" w:pos="4680"/>
        <w:tab w:val="right" w:pos="9360"/>
      </w:tabs>
    </w:pPr>
  </w:style>
  <w:style w:type="character" w:customStyle="1" w:styleId="FooterChar">
    <w:name w:val="Footer Char"/>
    <w:basedOn w:val="DefaultParagraphFont"/>
    <w:link w:val="Footer"/>
    <w:uiPriority w:val="99"/>
    <w:rsid w:val="00A56BE8"/>
    <w:rPr>
      <w:rFonts w:ascii="Arial" w:eastAsia="Times New Roman" w:hAnsi="Arial" w:cs="Times New Roman"/>
      <w:sz w:val="24"/>
      <w:szCs w:val="24"/>
    </w:rPr>
  </w:style>
  <w:style w:type="table" w:styleId="TableGrid">
    <w:name w:val="Table Grid"/>
    <w:basedOn w:val="TableNormal"/>
    <w:uiPriority w:val="39"/>
    <w:rsid w:val="002E4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64D9"/>
    <w:rPr>
      <w:color w:val="605E5C"/>
      <w:shd w:val="clear" w:color="auto" w:fill="E1DFDD"/>
    </w:rPr>
  </w:style>
  <w:style w:type="character" w:customStyle="1" w:styleId="ref-title">
    <w:name w:val="ref-title"/>
    <w:basedOn w:val="DefaultParagraphFont"/>
    <w:rsid w:val="004C737C"/>
  </w:style>
  <w:style w:type="character" w:customStyle="1" w:styleId="ref-journal">
    <w:name w:val="ref-journal"/>
    <w:basedOn w:val="DefaultParagraphFont"/>
    <w:rsid w:val="004C737C"/>
  </w:style>
  <w:style w:type="character" w:styleId="EndnoteReference">
    <w:name w:val="endnote reference"/>
    <w:basedOn w:val="DefaultParagraphFont"/>
    <w:uiPriority w:val="99"/>
    <w:semiHidden/>
    <w:unhideWhenUsed/>
    <w:rsid w:val="004C737C"/>
    <w:rPr>
      <w:vertAlign w:val="superscript"/>
    </w:rPr>
  </w:style>
  <w:style w:type="paragraph" w:styleId="EndnoteText">
    <w:name w:val="endnote text"/>
    <w:basedOn w:val="Normal"/>
    <w:link w:val="EndnoteTextChar"/>
    <w:uiPriority w:val="99"/>
    <w:unhideWhenUsed/>
    <w:rsid w:val="004C737C"/>
    <w:rPr>
      <w:rFonts w:ascii="Times New Roman" w:hAnsi="Times New Roman"/>
      <w:sz w:val="20"/>
      <w:szCs w:val="20"/>
    </w:rPr>
  </w:style>
  <w:style w:type="character" w:customStyle="1" w:styleId="EndnoteTextChar">
    <w:name w:val="Endnote Text Char"/>
    <w:basedOn w:val="DefaultParagraphFont"/>
    <w:link w:val="EndnoteText"/>
    <w:uiPriority w:val="99"/>
    <w:rsid w:val="004C737C"/>
    <w:rPr>
      <w:rFonts w:ascii="Times New Roman" w:eastAsia="Times New Roman" w:hAnsi="Times New Roman" w:cs="Times New Roman"/>
      <w:sz w:val="20"/>
      <w:szCs w:val="20"/>
    </w:rPr>
  </w:style>
  <w:style w:type="paragraph" w:styleId="NormalWeb">
    <w:name w:val="Normal (Web)"/>
    <w:basedOn w:val="Normal"/>
    <w:uiPriority w:val="99"/>
    <w:semiHidden/>
    <w:unhideWhenUsed/>
    <w:rsid w:val="00351A73"/>
    <w:pPr>
      <w:spacing w:before="100" w:beforeAutospacing="1" w:after="100" w:afterAutospacing="1"/>
    </w:pPr>
    <w:rPr>
      <w:rFonts w:ascii="Times New Roman" w:hAnsi="Times New Roman"/>
    </w:rPr>
  </w:style>
  <w:style w:type="paragraph" w:styleId="ListParagraph">
    <w:name w:val="List Paragraph"/>
    <w:basedOn w:val="Normal"/>
    <w:link w:val="ListParagraphChar"/>
    <w:uiPriority w:val="34"/>
    <w:qFormat/>
    <w:rsid w:val="00F26F0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customStyle="1" w:styleId="ListParagraphChar">
    <w:name w:val="List Paragraph Char"/>
    <w:basedOn w:val="DefaultParagraphFont"/>
    <w:link w:val="ListParagraph"/>
    <w:uiPriority w:val="34"/>
    <w:rsid w:val="00F26F07"/>
    <w:rPr>
      <w:kern w:val="2"/>
      <w14:ligatures w14:val="standardContextual"/>
    </w:rPr>
  </w:style>
  <w:style w:type="character" w:customStyle="1" w:styleId="xn-location">
    <w:name w:val="xn-location"/>
    <w:basedOn w:val="DefaultParagraphFont"/>
    <w:rsid w:val="003C30CF"/>
  </w:style>
  <w:style w:type="character" w:customStyle="1" w:styleId="cf01">
    <w:name w:val="cf01"/>
    <w:basedOn w:val="DefaultParagraphFont"/>
    <w:rsid w:val="00470A55"/>
    <w:rPr>
      <w:rFonts w:ascii="Segoe UI" w:hAnsi="Segoe UI" w:cs="Segoe UI" w:hint="default"/>
    </w:rPr>
  </w:style>
  <w:style w:type="character" w:customStyle="1" w:styleId="vkekvd">
    <w:name w:val="vkekvd"/>
    <w:basedOn w:val="DefaultParagraphFont"/>
    <w:rsid w:val="00B01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62215">
      <w:bodyDiv w:val="1"/>
      <w:marLeft w:val="0"/>
      <w:marRight w:val="0"/>
      <w:marTop w:val="0"/>
      <w:marBottom w:val="0"/>
      <w:divBdr>
        <w:top w:val="none" w:sz="0" w:space="0" w:color="auto"/>
        <w:left w:val="none" w:sz="0" w:space="0" w:color="auto"/>
        <w:bottom w:val="none" w:sz="0" w:space="0" w:color="auto"/>
        <w:right w:val="none" w:sz="0" w:space="0" w:color="auto"/>
      </w:divBdr>
      <w:divsChild>
        <w:div w:id="1554149791">
          <w:marLeft w:val="0"/>
          <w:marRight w:val="0"/>
          <w:marTop w:val="0"/>
          <w:marBottom w:val="0"/>
          <w:divBdr>
            <w:top w:val="none" w:sz="0" w:space="0" w:color="auto"/>
            <w:left w:val="none" w:sz="0" w:space="0" w:color="auto"/>
            <w:bottom w:val="none" w:sz="0" w:space="0" w:color="auto"/>
            <w:right w:val="none" w:sz="0" w:space="0" w:color="auto"/>
          </w:divBdr>
          <w:divsChild>
            <w:div w:id="19415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0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ncyg@nclne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fis.fda.gov/sense/app/95239e26-e0be-42d9-a960-9a5f7f1c25ee/sheet/45beeb74-30ab-46be-8267-5756582633b4/state/analysis" TargetMode="External"/><Relationship Id="rId2" Type="http://schemas.openxmlformats.org/officeDocument/2006/relationships/hyperlink" Target="https://www.fda.gov/drugs/postmarket-drug-safety-information-patients-and-providers/fdas-concerns-unapproved-glp-1-drugs-used-weight-loss" TargetMode="External"/><Relationship Id="rId1" Type="http://schemas.openxmlformats.org/officeDocument/2006/relationships/hyperlink" Target="https://www.fda.gov/drugs/human-drug-compounding/human-drug-compounding-laws" TargetMode="External"/><Relationship Id="rId6" Type="http://schemas.openxmlformats.org/officeDocument/2006/relationships/hyperlink" Target="https://www.brookings.edu/articles/us-drug-supply-chain-exposure-to-china/" TargetMode="External"/><Relationship Id="rId5" Type="http://schemas.openxmlformats.org/officeDocument/2006/relationships/hyperlink" Target="https://harborhealth.com/blog/health-tips/are-glp-1-weight-loss-medications-safe-for-people-over-65" TargetMode="External"/><Relationship Id="rId4" Type="http://schemas.openxmlformats.org/officeDocument/2006/relationships/hyperlink" Target="https://poisoncenters.org/track/GL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D9AFE621441A24CB9B72FEB0B5B9211" ma:contentTypeVersion="14" ma:contentTypeDescription="Create a new document." ma:contentTypeScope="" ma:versionID="63688a508c87d1959bbdf7f4a5a6302c">
  <xsd:schema xmlns:xsd="http://www.w3.org/2001/XMLSchema" xmlns:xs="http://www.w3.org/2001/XMLSchema" xmlns:p="http://schemas.microsoft.com/office/2006/metadata/properties" xmlns:ns3="6f146fb1-068e-4bac-98a7-b9c678b61334" xmlns:ns4="1120ebda-55d7-419c-b4a8-4cae6cc075d0" targetNamespace="http://schemas.microsoft.com/office/2006/metadata/properties" ma:root="true" ma:fieldsID="8501da1738c70c2724af997a8d735fea" ns3:_="" ns4:_="">
    <xsd:import namespace="6f146fb1-068e-4bac-98a7-b9c678b61334"/>
    <xsd:import namespace="1120ebda-55d7-419c-b4a8-4cae6cc075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46fb1-068e-4bac-98a7-b9c678b61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20ebda-55d7-419c-b4a8-4cae6cc075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025D38-7633-44EF-B9BA-76EC4C695E67}">
  <ds:schemaRefs>
    <ds:schemaRef ds:uri="http://schemas.microsoft.com/sharepoint/v3/contenttype/forms"/>
  </ds:schemaRefs>
</ds:datastoreItem>
</file>

<file path=customXml/itemProps2.xml><?xml version="1.0" encoding="utf-8"?>
<ds:datastoreItem xmlns:ds="http://schemas.openxmlformats.org/officeDocument/2006/customXml" ds:itemID="{0E5F9538-F214-4792-A21A-D275235778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514A75-60F1-47CC-99C3-CE6792A3618B}">
  <ds:schemaRefs>
    <ds:schemaRef ds:uri="http://schemas.openxmlformats.org/officeDocument/2006/bibliography"/>
  </ds:schemaRefs>
</ds:datastoreItem>
</file>

<file path=customXml/itemProps4.xml><?xml version="1.0" encoding="utf-8"?>
<ds:datastoreItem xmlns:ds="http://schemas.openxmlformats.org/officeDocument/2006/customXml" ds:itemID="{1B207E98-B780-4FEE-9A6C-1A0E2FF50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46fb1-068e-4bac-98a7-b9c678b61334"/>
    <ds:schemaRef ds:uri="1120ebda-55d7-419c-b4a8-4cae6cc07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Contreras</dc:creator>
  <cp:keywords/>
  <dc:description/>
  <cp:lastModifiedBy>Allison Chinyavong</cp:lastModifiedBy>
  <cp:revision>5</cp:revision>
  <cp:lastPrinted>2023-09-07T17:06:00Z</cp:lastPrinted>
  <dcterms:created xsi:type="dcterms:W3CDTF">2025-09-17T02:53:00Z</dcterms:created>
  <dcterms:modified xsi:type="dcterms:W3CDTF">2025-09-17T18:20:00Z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0x0101007D9AFE621441A24CB9B72FEB0B5B9211</vt:lpwstr>
  </property>
</Properties>
</file>