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B605" w14:textId="77777777" w:rsidR="001679C3" w:rsidRPr="00682652" w:rsidRDefault="001679C3" w:rsidP="003607A8">
      <w:pPr>
        <w:spacing w:after="0" w:line="276" w:lineRule="auto"/>
        <w:rPr>
          <w:rFonts w:ascii="Cambria" w:hAnsi="Cambria" w:cs="Times New Roman"/>
          <w:sz w:val="22"/>
          <w:szCs w:val="22"/>
        </w:rPr>
      </w:pPr>
    </w:p>
    <w:p w14:paraId="209A9735" w14:textId="77777777" w:rsidR="008F548F" w:rsidRPr="00682652" w:rsidRDefault="008F548F" w:rsidP="008F548F">
      <w:pPr>
        <w:spacing w:after="0" w:line="276" w:lineRule="auto"/>
        <w:rPr>
          <w:rFonts w:ascii="Cambria" w:hAnsi="Cambria" w:cs="Times New Roman"/>
          <w:sz w:val="22"/>
          <w:szCs w:val="22"/>
        </w:rPr>
      </w:pPr>
    </w:p>
    <w:p w14:paraId="4E7D678F" w14:textId="664C158F" w:rsidR="001579B2" w:rsidRPr="00682652" w:rsidRDefault="001579B2" w:rsidP="008F548F">
      <w:pPr>
        <w:spacing w:after="0" w:line="276" w:lineRule="auto"/>
        <w:ind w:left="-450" w:right="-360"/>
        <w:rPr>
          <w:rFonts w:ascii="Cambria" w:hAnsi="Cambria" w:cs="Times New Roman"/>
          <w:sz w:val="22"/>
          <w:szCs w:val="22"/>
        </w:rPr>
      </w:pPr>
      <w:r w:rsidRPr="00682652">
        <w:rPr>
          <w:rFonts w:ascii="Cambria" w:hAnsi="Cambria" w:cs="Times New Roman"/>
          <w:sz w:val="22"/>
          <w:szCs w:val="22"/>
        </w:rPr>
        <w:t>The Honorable Janet Yellen</w:t>
      </w:r>
      <w:r w:rsidR="008F548F" w:rsidRPr="00682652">
        <w:rPr>
          <w:rFonts w:ascii="Cambria" w:hAnsi="Cambria" w:cs="Times New Roman"/>
          <w:sz w:val="22"/>
          <w:szCs w:val="22"/>
        </w:rPr>
        <w:t xml:space="preserve">                                                                                                           </w:t>
      </w:r>
      <w:r w:rsidR="008F548F" w:rsidRPr="00682652">
        <w:rPr>
          <w:rFonts w:ascii="Cambria" w:hAnsi="Cambria" w:cs="Times New Roman"/>
          <w:sz w:val="22"/>
          <w:szCs w:val="22"/>
        </w:rPr>
        <w:t>February 27, 2024</w:t>
      </w:r>
      <w:r w:rsidRPr="00682652">
        <w:rPr>
          <w:rFonts w:ascii="Cambria" w:hAnsi="Cambria" w:cs="Times New Roman"/>
          <w:sz w:val="22"/>
          <w:szCs w:val="22"/>
        </w:rPr>
        <w:br/>
        <w:t xml:space="preserve">Secretary of the Treasury </w:t>
      </w:r>
      <w:r w:rsidRPr="00682652">
        <w:rPr>
          <w:rFonts w:ascii="Cambria" w:hAnsi="Cambria" w:cs="Times New Roman"/>
          <w:sz w:val="22"/>
          <w:szCs w:val="22"/>
        </w:rPr>
        <w:br/>
        <w:t>U.S. Department of Treasury</w:t>
      </w:r>
      <w:r w:rsidRPr="00682652">
        <w:rPr>
          <w:rFonts w:ascii="Cambria" w:hAnsi="Cambria" w:cs="Times New Roman"/>
          <w:sz w:val="22"/>
          <w:szCs w:val="22"/>
        </w:rPr>
        <w:br/>
        <w:t xml:space="preserve">1500 Pennsylvania Ave., N.W. </w:t>
      </w:r>
      <w:r w:rsidRPr="00682652">
        <w:rPr>
          <w:rFonts w:ascii="Cambria" w:hAnsi="Cambria" w:cs="Times New Roman"/>
          <w:sz w:val="22"/>
          <w:szCs w:val="22"/>
        </w:rPr>
        <w:br/>
        <w:t>Washington, D.C. 20220</w:t>
      </w:r>
    </w:p>
    <w:p w14:paraId="69ACA7BF" w14:textId="0FE40770" w:rsidR="001579B2" w:rsidRPr="00682652" w:rsidRDefault="008F548F" w:rsidP="008F548F">
      <w:pPr>
        <w:spacing w:after="0" w:line="276" w:lineRule="auto"/>
        <w:ind w:left="-450" w:right="-360"/>
        <w:rPr>
          <w:rFonts w:ascii="Cambria" w:hAnsi="Cambria" w:cs="Times New Roman"/>
          <w:sz w:val="22"/>
          <w:szCs w:val="22"/>
        </w:rPr>
      </w:pPr>
      <w:r w:rsidRPr="00682652">
        <w:rPr>
          <w:rFonts w:ascii="Cambria" w:hAnsi="Cambria" w:cs="Times New Roman"/>
          <w:sz w:val="22"/>
          <w:szCs w:val="22"/>
        </w:rPr>
        <w:br/>
      </w:r>
      <w:r w:rsidR="001579B2" w:rsidRPr="00682652">
        <w:rPr>
          <w:rFonts w:ascii="Cambria" w:hAnsi="Cambria" w:cs="Times New Roman"/>
          <w:sz w:val="22"/>
          <w:szCs w:val="22"/>
        </w:rPr>
        <w:t>Re: Request for Leadership to Accelerate Publication of Promised Alcohol Labeling Rules</w:t>
      </w:r>
      <w:r w:rsidR="00BF33E1" w:rsidRPr="00682652">
        <w:rPr>
          <w:rFonts w:ascii="Cambria" w:hAnsi="Cambria" w:cs="Times New Roman"/>
          <w:sz w:val="22"/>
          <w:szCs w:val="22"/>
        </w:rPr>
        <w:br/>
      </w:r>
      <w:r w:rsidR="0041019D" w:rsidRPr="00682652">
        <w:rPr>
          <w:rFonts w:ascii="Cambria" w:hAnsi="Cambria" w:cs="Times New Roman"/>
          <w:sz w:val="22"/>
          <w:szCs w:val="22"/>
        </w:rPr>
        <w:br/>
      </w:r>
      <w:r w:rsidR="001579B2" w:rsidRPr="00682652">
        <w:rPr>
          <w:rFonts w:ascii="Cambria" w:hAnsi="Cambria" w:cs="Times New Roman"/>
          <w:sz w:val="22"/>
          <w:szCs w:val="22"/>
        </w:rPr>
        <w:t>Dear Secretary Yellen:</w:t>
      </w:r>
    </w:p>
    <w:p w14:paraId="70B1E19A" w14:textId="77777777" w:rsidR="003607A8" w:rsidRPr="00682652" w:rsidRDefault="003607A8" w:rsidP="008F548F">
      <w:pPr>
        <w:spacing w:after="0" w:line="276" w:lineRule="auto"/>
        <w:ind w:left="-450" w:right="-360"/>
        <w:rPr>
          <w:rFonts w:ascii="Cambria" w:hAnsi="Cambria" w:cs="Times New Roman"/>
          <w:sz w:val="22"/>
          <w:szCs w:val="22"/>
        </w:rPr>
      </w:pPr>
    </w:p>
    <w:p w14:paraId="37A2EABE" w14:textId="7D5F2EB8" w:rsidR="00936AB7" w:rsidRPr="00682652" w:rsidRDefault="001579B2" w:rsidP="008F548F">
      <w:pPr>
        <w:spacing w:after="0" w:line="276" w:lineRule="auto"/>
        <w:ind w:left="-450" w:right="-360"/>
        <w:rPr>
          <w:rFonts w:ascii="Cambria" w:hAnsi="Cambria" w:cs="Times New Roman"/>
          <w:sz w:val="22"/>
          <w:szCs w:val="22"/>
        </w:rPr>
      </w:pPr>
      <w:r w:rsidRPr="00682652">
        <w:rPr>
          <w:rFonts w:ascii="Cambria" w:hAnsi="Cambria" w:cs="Times New Roman"/>
          <w:sz w:val="22"/>
          <w:szCs w:val="22"/>
        </w:rPr>
        <w:t xml:space="preserve">We write to you in your </w:t>
      </w:r>
      <w:r w:rsidR="00847110" w:rsidRPr="00682652">
        <w:rPr>
          <w:rFonts w:ascii="Cambria" w:hAnsi="Cambria" w:cs="Times New Roman"/>
          <w:sz w:val="22"/>
          <w:szCs w:val="22"/>
        </w:rPr>
        <w:t xml:space="preserve">role administering </w:t>
      </w:r>
      <w:r w:rsidRPr="00682652">
        <w:rPr>
          <w:rFonts w:ascii="Cambria" w:hAnsi="Cambria" w:cs="Times New Roman"/>
          <w:sz w:val="22"/>
          <w:szCs w:val="22"/>
        </w:rPr>
        <w:t xml:space="preserve">the Treasury Department’s Alcohol and Tobacco Tax and Trade Bureau (TTB) to express our dismay and serious concern that TTB has </w:t>
      </w:r>
      <w:r w:rsidR="00F72149" w:rsidRPr="00682652">
        <w:rPr>
          <w:rFonts w:ascii="Cambria" w:hAnsi="Cambria" w:cs="Times New Roman"/>
          <w:sz w:val="22"/>
          <w:szCs w:val="22"/>
        </w:rPr>
        <w:t xml:space="preserve">backtracked from </w:t>
      </w:r>
      <w:r w:rsidRPr="00682652">
        <w:rPr>
          <w:rFonts w:ascii="Cambria" w:hAnsi="Cambria" w:cs="Times New Roman"/>
          <w:sz w:val="22"/>
          <w:szCs w:val="22"/>
        </w:rPr>
        <w:t xml:space="preserve">its written </w:t>
      </w:r>
      <w:r w:rsidR="00F72149" w:rsidRPr="00682652">
        <w:rPr>
          <w:rFonts w:ascii="Cambria" w:hAnsi="Cambria" w:cs="Times New Roman"/>
          <w:sz w:val="22"/>
          <w:szCs w:val="22"/>
        </w:rPr>
        <w:t xml:space="preserve">undertaking </w:t>
      </w:r>
      <w:r w:rsidR="00936AB7" w:rsidRPr="00682652">
        <w:rPr>
          <w:rFonts w:ascii="Cambria" w:hAnsi="Cambria" w:cs="Times New Roman"/>
          <w:sz w:val="22"/>
          <w:szCs w:val="22"/>
        </w:rPr>
        <w:t xml:space="preserve">of November </w:t>
      </w:r>
      <w:r w:rsidR="00BB5DD0" w:rsidRPr="00682652">
        <w:rPr>
          <w:rFonts w:ascii="Cambria" w:hAnsi="Cambria" w:cs="Times New Roman"/>
          <w:sz w:val="22"/>
          <w:szCs w:val="22"/>
        </w:rPr>
        <w:t>17</w:t>
      </w:r>
      <w:r w:rsidR="00936AB7" w:rsidRPr="00682652">
        <w:rPr>
          <w:rFonts w:ascii="Cambria" w:hAnsi="Cambria" w:cs="Times New Roman"/>
          <w:sz w:val="22"/>
          <w:szCs w:val="22"/>
        </w:rPr>
        <w:t>, 2022</w:t>
      </w:r>
      <w:r w:rsidR="009C6E4A" w:rsidRPr="00682652">
        <w:rPr>
          <w:rFonts w:ascii="Cambria" w:hAnsi="Cambria" w:cs="Times New Roman"/>
          <w:sz w:val="22"/>
          <w:szCs w:val="22"/>
        </w:rPr>
        <w:t xml:space="preserve"> agreement</w:t>
      </w:r>
      <w:r w:rsidR="00BD1C55" w:rsidRPr="00682652">
        <w:rPr>
          <w:rStyle w:val="EndnoteReference"/>
          <w:rFonts w:ascii="Cambria" w:hAnsi="Cambria" w:cs="Times New Roman"/>
          <w:color w:val="467886" w:themeColor="hyperlink"/>
          <w:sz w:val="22"/>
          <w:szCs w:val="22"/>
          <w:u w:val="single"/>
        </w:rPr>
        <w:endnoteReference w:id="1"/>
      </w:r>
      <w:r w:rsidR="0008195E" w:rsidRPr="00682652">
        <w:rPr>
          <w:rFonts w:ascii="Cambria" w:hAnsi="Cambria" w:cs="Times New Roman"/>
          <w:sz w:val="22"/>
          <w:szCs w:val="22"/>
        </w:rPr>
        <w:t xml:space="preserve"> to issue proposed </w:t>
      </w:r>
      <w:r w:rsidR="003F58FC" w:rsidRPr="00682652">
        <w:rPr>
          <w:rFonts w:ascii="Cambria" w:hAnsi="Cambria" w:cs="Times New Roman"/>
          <w:sz w:val="22"/>
          <w:szCs w:val="22"/>
        </w:rPr>
        <w:t xml:space="preserve">rules </w:t>
      </w:r>
      <w:r w:rsidR="00936AB7" w:rsidRPr="00682652">
        <w:rPr>
          <w:rFonts w:ascii="Cambria" w:hAnsi="Cambria" w:cs="Times New Roman"/>
          <w:sz w:val="22"/>
          <w:szCs w:val="22"/>
        </w:rPr>
        <w:t xml:space="preserve">requiring standardized </w:t>
      </w:r>
      <w:r w:rsidR="00AF74DB" w:rsidRPr="00682652">
        <w:rPr>
          <w:rFonts w:ascii="Cambria" w:hAnsi="Cambria" w:cs="Times New Roman"/>
          <w:sz w:val="22"/>
          <w:szCs w:val="22"/>
        </w:rPr>
        <w:t xml:space="preserve">nutrient content, </w:t>
      </w:r>
      <w:r w:rsidR="00936AB7" w:rsidRPr="00682652">
        <w:rPr>
          <w:rFonts w:ascii="Cambria" w:hAnsi="Cambria" w:cs="Times New Roman"/>
          <w:sz w:val="22"/>
          <w:szCs w:val="22"/>
        </w:rPr>
        <w:t xml:space="preserve">alcohol content, </w:t>
      </w:r>
      <w:r w:rsidR="00AF74DB" w:rsidRPr="00682652">
        <w:rPr>
          <w:rFonts w:ascii="Cambria" w:hAnsi="Cambria" w:cs="Times New Roman"/>
          <w:sz w:val="22"/>
          <w:szCs w:val="22"/>
        </w:rPr>
        <w:t>ingredient</w:t>
      </w:r>
      <w:r w:rsidR="00936AB7" w:rsidRPr="00682652">
        <w:rPr>
          <w:rFonts w:ascii="Cambria" w:hAnsi="Cambria" w:cs="Times New Roman"/>
          <w:sz w:val="22"/>
          <w:szCs w:val="22"/>
        </w:rPr>
        <w:t>, and allergen labeling on beer, wine and distilled spirits products</w:t>
      </w:r>
      <w:r w:rsidR="00265C3C" w:rsidRPr="00682652">
        <w:rPr>
          <w:rFonts w:ascii="Cambria" w:hAnsi="Cambria" w:cs="Times New Roman"/>
          <w:sz w:val="22"/>
          <w:szCs w:val="22"/>
        </w:rPr>
        <w:t xml:space="preserve">. </w:t>
      </w:r>
    </w:p>
    <w:p w14:paraId="7DC7692D" w14:textId="77777777" w:rsidR="003607A8" w:rsidRPr="00682652" w:rsidRDefault="003607A8" w:rsidP="008F548F">
      <w:pPr>
        <w:spacing w:after="0" w:line="276" w:lineRule="auto"/>
        <w:ind w:left="-450" w:right="-360"/>
        <w:rPr>
          <w:rFonts w:ascii="Cambria" w:hAnsi="Cambria" w:cs="Times New Roman"/>
          <w:sz w:val="22"/>
          <w:szCs w:val="22"/>
        </w:rPr>
      </w:pPr>
    </w:p>
    <w:p w14:paraId="1DE7D66D" w14:textId="4CB5D2DA" w:rsidR="00265C3C" w:rsidRPr="00682652" w:rsidRDefault="00265C3C" w:rsidP="008F548F">
      <w:pPr>
        <w:spacing w:after="0" w:line="276" w:lineRule="auto"/>
        <w:ind w:left="-450" w:right="-360"/>
        <w:rPr>
          <w:rFonts w:ascii="Cambria" w:eastAsia="Times New Roman" w:hAnsi="Cambria" w:cs="Times New Roman"/>
          <w:color w:val="000000"/>
          <w:kern w:val="0"/>
          <w:sz w:val="22"/>
          <w:szCs w:val="22"/>
          <w14:ligatures w14:val="none"/>
        </w:rPr>
      </w:pPr>
      <w:r w:rsidRPr="00682652">
        <w:rPr>
          <w:rFonts w:ascii="Cambria" w:hAnsi="Cambria" w:cs="Times New Roman"/>
          <w:sz w:val="22"/>
          <w:szCs w:val="22"/>
        </w:rPr>
        <w:t xml:space="preserve">For over 20 years, </w:t>
      </w:r>
      <w:r w:rsidR="004B4162" w:rsidRPr="00682652">
        <w:rPr>
          <w:rFonts w:ascii="Cambria" w:eastAsia="Times New Roman" w:hAnsi="Cambria" w:cs="Times New Roman"/>
          <w:color w:val="000000"/>
          <w:kern w:val="0"/>
          <w:sz w:val="22"/>
          <w:szCs w:val="22"/>
          <w14:ligatures w14:val="none"/>
        </w:rPr>
        <w:t xml:space="preserve">advocates have been pressing TTB to require a “Serving Facts” label that tells consumers </w:t>
      </w:r>
      <w:r w:rsidR="008F548F" w:rsidRPr="00682652">
        <w:rPr>
          <w:rFonts w:ascii="Cambria" w:eastAsia="Times New Roman" w:hAnsi="Cambria" w:cs="Times New Roman"/>
          <w:color w:val="000000"/>
          <w:kern w:val="0"/>
          <w:sz w:val="22"/>
          <w:szCs w:val="22"/>
          <w14:ligatures w14:val="none"/>
        </w:rPr>
        <w:br/>
      </w:r>
      <w:r w:rsidR="004B4162" w:rsidRPr="00682652">
        <w:rPr>
          <w:rFonts w:ascii="Cambria" w:eastAsia="Times New Roman" w:hAnsi="Cambria" w:cs="Times New Roman"/>
          <w:color w:val="000000"/>
          <w:kern w:val="0"/>
          <w:sz w:val="22"/>
          <w:szCs w:val="22"/>
          <w14:ligatures w14:val="none"/>
        </w:rPr>
        <w:t xml:space="preserve">the serving size, amount of alcohol (in fluid ounces or grams) and calories per serving, the percent alcohol </w:t>
      </w:r>
      <w:r w:rsidR="008F548F" w:rsidRPr="00682652">
        <w:rPr>
          <w:rFonts w:ascii="Cambria" w:eastAsia="Times New Roman" w:hAnsi="Cambria" w:cs="Times New Roman"/>
          <w:color w:val="000000"/>
          <w:kern w:val="0"/>
          <w:sz w:val="22"/>
          <w:szCs w:val="22"/>
          <w14:ligatures w14:val="none"/>
        </w:rPr>
        <w:br/>
      </w:r>
      <w:r w:rsidR="004B4162" w:rsidRPr="00682652">
        <w:rPr>
          <w:rFonts w:ascii="Cambria" w:eastAsia="Times New Roman" w:hAnsi="Cambria" w:cs="Times New Roman"/>
          <w:color w:val="000000"/>
          <w:kern w:val="0"/>
          <w:sz w:val="22"/>
          <w:szCs w:val="22"/>
          <w14:ligatures w14:val="none"/>
        </w:rPr>
        <w:t xml:space="preserve">by volume, the number of standard drinks per container and other needed information to make responsible drinking decisions. </w:t>
      </w:r>
      <w:r w:rsidRPr="00682652">
        <w:rPr>
          <w:rFonts w:ascii="Cambria" w:eastAsia="Times New Roman" w:hAnsi="Cambria" w:cs="Times New Roman"/>
          <w:color w:val="000000"/>
          <w:kern w:val="0"/>
          <w:sz w:val="22"/>
          <w:szCs w:val="22"/>
          <w14:ligatures w14:val="none"/>
        </w:rPr>
        <w:t xml:space="preserve">In response, TTB </w:t>
      </w:r>
      <w:r w:rsidR="004B4162" w:rsidRPr="00682652">
        <w:rPr>
          <w:rFonts w:ascii="Cambria" w:eastAsia="Times New Roman" w:hAnsi="Cambria" w:cs="Times New Roman"/>
          <w:color w:val="000000"/>
          <w:kern w:val="0"/>
          <w:sz w:val="22"/>
          <w:szCs w:val="22"/>
          <w14:ligatures w14:val="none"/>
        </w:rPr>
        <w:t xml:space="preserve">deliberated, </w:t>
      </w:r>
      <w:r w:rsidRPr="00682652">
        <w:rPr>
          <w:rFonts w:ascii="Cambria" w:eastAsia="Times New Roman" w:hAnsi="Cambria" w:cs="Times New Roman"/>
          <w:color w:val="000000"/>
          <w:kern w:val="0"/>
          <w:sz w:val="22"/>
          <w:szCs w:val="22"/>
          <w14:ligatures w14:val="none"/>
        </w:rPr>
        <w:t xml:space="preserve">asked for public comment, </w:t>
      </w:r>
      <w:r w:rsidR="004B4162" w:rsidRPr="00682652">
        <w:rPr>
          <w:rFonts w:ascii="Cambria" w:eastAsia="Times New Roman" w:hAnsi="Cambria" w:cs="Times New Roman"/>
          <w:color w:val="000000"/>
          <w:kern w:val="0"/>
          <w:sz w:val="22"/>
          <w:szCs w:val="22"/>
          <w14:ligatures w14:val="none"/>
        </w:rPr>
        <w:t xml:space="preserve">issued draft rules </w:t>
      </w:r>
      <w:r w:rsidR="006B2FAC" w:rsidRPr="00682652">
        <w:rPr>
          <w:rFonts w:ascii="Cambria" w:eastAsia="Times New Roman" w:hAnsi="Cambria" w:cs="Times New Roman"/>
          <w:color w:val="000000"/>
          <w:kern w:val="0"/>
          <w:sz w:val="22"/>
          <w:szCs w:val="22"/>
          <w14:ligatures w14:val="none"/>
        </w:rPr>
        <w:t xml:space="preserve">requiring mandatory labeling </w:t>
      </w:r>
      <w:r w:rsidR="004B4162" w:rsidRPr="00682652">
        <w:rPr>
          <w:rFonts w:ascii="Cambria" w:eastAsia="Times New Roman" w:hAnsi="Cambria" w:cs="Times New Roman"/>
          <w:color w:val="000000"/>
          <w:kern w:val="0"/>
          <w:sz w:val="22"/>
          <w:szCs w:val="22"/>
          <w14:ligatures w14:val="none"/>
        </w:rPr>
        <w:t xml:space="preserve">that were never finalized, </w:t>
      </w:r>
      <w:r w:rsidRPr="00682652">
        <w:rPr>
          <w:rFonts w:ascii="Cambria" w:eastAsia="Times New Roman" w:hAnsi="Cambria" w:cs="Times New Roman"/>
          <w:color w:val="000000"/>
          <w:kern w:val="0"/>
          <w:sz w:val="22"/>
          <w:szCs w:val="22"/>
          <w14:ligatures w14:val="none"/>
        </w:rPr>
        <w:t xml:space="preserve">and </w:t>
      </w:r>
      <w:r w:rsidR="009618AB" w:rsidRPr="00682652">
        <w:rPr>
          <w:rFonts w:ascii="Cambria" w:eastAsia="Times New Roman" w:hAnsi="Cambria" w:cs="Times New Roman"/>
          <w:color w:val="000000"/>
          <w:kern w:val="0"/>
          <w:sz w:val="22"/>
          <w:szCs w:val="22"/>
          <w14:ligatures w14:val="none"/>
        </w:rPr>
        <w:t xml:space="preserve">in 2013, </w:t>
      </w:r>
      <w:r w:rsidRPr="00682652">
        <w:rPr>
          <w:rFonts w:ascii="Cambria" w:eastAsia="Times New Roman" w:hAnsi="Cambria" w:cs="Times New Roman"/>
          <w:color w:val="000000"/>
          <w:kern w:val="0"/>
          <w:sz w:val="22"/>
          <w:szCs w:val="22"/>
          <w14:ligatures w14:val="none"/>
        </w:rPr>
        <w:t xml:space="preserve">settled on </w:t>
      </w:r>
      <w:r w:rsidR="004B4162" w:rsidRPr="00682652">
        <w:rPr>
          <w:rFonts w:ascii="Cambria" w:eastAsia="Times New Roman" w:hAnsi="Cambria" w:cs="Times New Roman"/>
          <w:color w:val="000000"/>
          <w:kern w:val="0"/>
          <w:sz w:val="22"/>
          <w:szCs w:val="22"/>
          <w14:ligatures w14:val="none"/>
        </w:rPr>
        <w:t xml:space="preserve">a voluntary rule that </w:t>
      </w:r>
      <w:r w:rsidRPr="00682652">
        <w:rPr>
          <w:rFonts w:ascii="Cambria" w:eastAsia="Times New Roman" w:hAnsi="Cambria" w:cs="Times New Roman"/>
          <w:color w:val="000000"/>
          <w:kern w:val="0"/>
          <w:sz w:val="22"/>
          <w:szCs w:val="22"/>
          <w14:ligatures w14:val="none"/>
        </w:rPr>
        <w:t xml:space="preserve">has been </w:t>
      </w:r>
      <w:r w:rsidR="004B4162" w:rsidRPr="00682652">
        <w:rPr>
          <w:rFonts w:ascii="Cambria" w:eastAsia="Times New Roman" w:hAnsi="Cambria" w:cs="Times New Roman"/>
          <w:color w:val="000000"/>
          <w:kern w:val="0"/>
          <w:sz w:val="22"/>
          <w:szCs w:val="22"/>
          <w14:ligatures w14:val="none"/>
        </w:rPr>
        <w:t>largely ineffective</w:t>
      </w:r>
      <w:r w:rsidRPr="00682652">
        <w:rPr>
          <w:rFonts w:ascii="Cambria" w:eastAsia="Times New Roman" w:hAnsi="Cambria" w:cs="Times New Roman"/>
          <w:color w:val="000000"/>
          <w:kern w:val="0"/>
          <w:sz w:val="22"/>
          <w:szCs w:val="22"/>
          <w14:ligatures w14:val="none"/>
        </w:rPr>
        <w:t>.</w:t>
      </w:r>
    </w:p>
    <w:p w14:paraId="2DC40A90" w14:textId="77777777" w:rsidR="003607A8" w:rsidRPr="00682652" w:rsidRDefault="003607A8" w:rsidP="008F548F">
      <w:pPr>
        <w:spacing w:after="0" w:line="276" w:lineRule="auto"/>
        <w:ind w:right="-360"/>
        <w:rPr>
          <w:rFonts w:ascii="Cambria" w:eastAsia="Times New Roman" w:hAnsi="Cambria" w:cs="Times New Roman"/>
          <w:color w:val="000000"/>
          <w:kern w:val="0"/>
          <w:sz w:val="22"/>
          <w:szCs w:val="22"/>
          <w14:ligatures w14:val="none"/>
        </w:rPr>
      </w:pPr>
    </w:p>
    <w:p w14:paraId="5ED6189D" w14:textId="661AD0AB" w:rsidR="00C41F26" w:rsidRPr="00682652" w:rsidRDefault="009618AB" w:rsidP="008F548F">
      <w:pPr>
        <w:spacing w:after="0" w:line="276" w:lineRule="auto"/>
        <w:ind w:left="-450" w:right="-360"/>
        <w:rPr>
          <w:rFonts w:ascii="Cambria" w:hAnsi="Cambria" w:cs="Times New Roman"/>
          <w:sz w:val="22"/>
          <w:szCs w:val="22"/>
        </w:rPr>
      </w:pPr>
      <w:r w:rsidRPr="00682652">
        <w:rPr>
          <w:rFonts w:ascii="Cambria" w:eastAsia="Times New Roman" w:hAnsi="Cambria" w:cs="Times New Roman"/>
          <w:color w:val="000000"/>
          <w:kern w:val="0"/>
          <w:sz w:val="22"/>
          <w:szCs w:val="22"/>
          <w14:ligatures w14:val="none"/>
        </w:rPr>
        <w:t>Then in 2022, TTB took an important step forward. In response to an ongoing lawsuit filed by the Center for Science in the Public Interest, Consumer Federation of America and the National Consumers League, the agency committed in writing to pub</w:t>
      </w:r>
      <w:r w:rsidRPr="00682652">
        <w:rPr>
          <w:rFonts w:ascii="Cambria" w:hAnsi="Cambria" w:cs="Times New Roman"/>
          <w:sz w:val="22"/>
          <w:szCs w:val="22"/>
        </w:rPr>
        <w:t>lish</w:t>
      </w:r>
      <w:r w:rsidR="004B4162" w:rsidRPr="00682652">
        <w:rPr>
          <w:rFonts w:ascii="Cambria" w:hAnsi="Cambria" w:cs="Times New Roman"/>
          <w:sz w:val="22"/>
          <w:szCs w:val="22"/>
        </w:rPr>
        <w:t xml:space="preserve"> three</w:t>
      </w:r>
      <w:r w:rsidR="009052F3" w:rsidRPr="00682652">
        <w:rPr>
          <w:rFonts w:ascii="Cambria" w:hAnsi="Cambria" w:cs="Times New Roman"/>
          <w:sz w:val="22"/>
          <w:szCs w:val="22"/>
        </w:rPr>
        <w:t xml:space="preserve"> mandatory</w:t>
      </w:r>
      <w:r w:rsidR="004B4162" w:rsidRPr="00682652">
        <w:rPr>
          <w:rFonts w:ascii="Cambria" w:hAnsi="Cambria" w:cs="Times New Roman"/>
          <w:sz w:val="22"/>
          <w:szCs w:val="22"/>
        </w:rPr>
        <w:t xml:space="preserve"> rulemakings</w:t>
      </w:r>
      <w:r w:rsidRPr="00682652">
        <w:rPr>
          <w:rFonts w:ascii="Cambria" w:hAnsi="Cambria" w:cs="Times New Roman"/>
          <w:sz w:val="22"/>
          <w:szCs w:val="22"/>
        </w:rPr>
        <w:t xml:space="preserve"> on nutrition, ingredients and allergen labeling for alcoholic beverages</w:t>
      </w:r>
      <w:r w:rsidR="009E441A" w:rsidRPr="00682652">
        <w:rPr>
          <w:rFonts w:ascii="Cambria" w:hAnsi="Cambria" w:cs="Times New Roman"/>
          <w:sz w:val="22"/>
          <w:szCs w:val="22"/>
        </w:rPr>
        <w:t>, stating that it expected to issue the rulemakings</w:t>
      </w:r>
      <w:r w:rsidRPr="00682652">
        <w:rPr>
          <w:rFonts w:ascii="Cambria" w:hAnsi="Cambria" w:cs="Times New Roman"/>
          <w:sz w:val="22"/>
          <w:szCs w:val="22"/>
        </w:rPr>
        <w:t xml:space="preserve"> </w:t>
      </w:r>
      <w:r w:rsidR="00567A60" w:rsidRPr="00682652">
        <w:rPr>
          <w:rFonts w:ascii="Cambria" w:hAnsi="Cambria" w:cs="Times New Roman"/>
          <w:sz w:val="22"/>
          <w:szCs w:val="22"/>
        </w:rPr>
        <w:t>by the end of 2023.</w:t>
      </w:r>
      <w:r w:rsidR="00CC6127" w:rsidRPr="00682652">
        <w:rPr>
          <w:rStyle w:val="EndnoteReference"/>
          <w:rFonts w:ascii="Cambria" w:hAnsi="Cambria" w:cs="Times New Roman"/>
          <w:sz w:val="22"/>
          <w:szCs w:val="22"/>
        </w:rPr>
        <w:endnoteReference w:id="2"/>
      </w:r>
      <w:r w:rsidR="00567A60" w:rsidRPr="00682652">
        <w:rPr>
          <w:rFonts w:ascii="Cambria" w:hAnsi="Cambria" w:cs="Times New Roman"/>
          <w:sz w:val="22"/>
          <w:szCs w:val="22"/>
        </w:rPr>
        <w:t xml:space="preserve"> </w:t>
      </w:r>
    </w:p>
    <w:p w14:paraId="2ED84C26" w14:textId="77777777" w:rsidR="003607A8" w:rsidRPr="00682652" w:rsidRDefault="003607A8" w:rsidP="008F548F">
      <w:pPr>
        <w:spacing w:after="0" w:line="276" w:lineRule="auto"/>
        <w:ind w:left="-450"/>
        <w:rPr>
          <w:rFonts w:ascii="Cambria" w:hAnsi="Cambria" w:cs="Times New Roman"/>
          <w:sz w:val="22"/>
          <w:szCs w:val="22"/>
        </w:rPr>
      </w:pPr>
    </w:p>
    <w:p w14:paraId="11F20DD3" w14:textId="644016E6" w:rsidR="008F548F" w:rsidRPr="00682652" w:rsidRDefault="00030727" w:rsidP="008F548F">
      <w:pPr>
        <w:spacing w:after="0" w:line="276" w:lineRule="auto"/>
        <w:ind w:left="-450"/>
        <w:rPr>
          <w:rFonts w:ascii="Cambria" w:hAnsi="Cambria" w:cs="Times New Roman"/>
          <w:sz w:val="22"/>
          <w:szCs w:val="22"/>
        </w:rPr>
      </w:pPr>
      <w:r w:rsidRPr="00682652">
        <w:rPr>
          <w:rFonts w:ascii="Cambria" w:hAnsi="Cambria" w:cs="Times New Roman"/>
          <w:sz w:val="22"/>
          <w:szCs w:val="22"/>
        </w:rPr>
        <w:t xml:space="preserve">We welcomed TTB’s response and, in a November 21, </w:t>
      </w:r>
      <w:r w:rsidR="009C6E4A" w:rsidRPr="00682652">
        <w:rPr>
          <w:rFonts w:ascii="Cambria" w:hAnsi="Cambria" w:cs="Times New Roman"/>
          <w:sz w:val="22"/>
          <w:szCs w:val="22"/>
        </w:rPr>
        <w:t xml:space="preserve">2022 </w:t>
      </w:r>
      <w:r w:rsidRPr="00682652">
        <w:rPr>
          <w:rFonts w:ascii="Cambria" w:hAnsi="Cambria" w:cs="Times New Roman"/>
          <w:sz w:val="22"/>
          <w:szCs w:val="22"/>
        </w:rPr>
        <w:t>joint press release</w:t>
      </w:r>
      <w:r w:rsidR="00702C1E" w:rsidRPr="00682652">
        <w:rPr>
          <w:rFonts w:ascii="Cambria" w:hAnsi="Cambria" w:cs="Times New Roman"/>
          <w:sz w:val="22"/>
          <w:szCs w:val="22"/>
        </w:rPr>
        <w:t>,</w:t>
      </w:r>
      <w:r w:rsidR="00427FCE" w:rsidRPr="00682652">
        <w:rPr>
          <w:rStyle w:val="EndnoteReference"/>
          <w:rFonts w:ascii="Cambria" w:hAnsi="Cambria" w:cs="Times New Roman"/>
          <w:color w:val="467886" w:themeColor="hyperlink"/>
          <w:sz w:val="22"/>
          <w:szCs w:val="22"/>
        </w:rPr>
        <w:endnoteReference w:id="3"/>
      </w:r>
      <w:r w:rsidRPr="00682652">
        <w:rPr>
          <w:rStyle w:val="Hyperlink"/>
          <w:rFonts w:ascii="Cambria" w:hAnsi="Cambria" w:cs="Times New Roman"/>
          <w:sz w:val="22"/>
          <w:szCs w:val="22"/>
          <w:u w:val="none"/>
        </w:rPr>
        <w:t xml:space="preserve"> </w:t>
      </w:r>
      <w:r w:rsidRPr="00682652">
        <w:rPr>
          <w:rFonts w:ascii="Cambria" w:hAnsi="Cambria" w:cs="Times New Roman"/>
          <w:sz w:val="22"/>
          <w:szCs w:val="22"/>
        </w:rPr>
        <w:t>went so far as to congratulate the agency for acting in consumers’ interests. We were further encouraged when the Treasury Department</w:t>
      </w:r>
      <w:r w:rsidR="000B4108" w:rsidRPr="00682652">
        <w:rPr>
          <w:rFonts w:ascii="Cambria" w:hAnsi="Cambria" w:cs="Times New Roman"/>
          <w:sz w:val="22"/>
          <w:szCs w:val="22"/>
        </w:rPr>
        <w:t xml:space="preserve">’s Spring 2023 Unified Agenda </w:t>
      </w:r>
      <w:r w:rsidRPr="00682652">
        <w:rPr>
          <w:rFonts w:ascii="Cambria" w:hAnsi="Cambria" w:cs="Times New Roman"/>
          <w:sz w:val="22"/>
          <w:szCs w:val="22"/>
        </w:rPr>
        <w:t xml:space="preserve">listed July 2023 as the intended date of publication for each of the three rulemakings </w:t>
      </w:r>
      <w:r w:rsidR="000B4108" w:rsidRPr="00682652">
        <w:rPr>
          <w:rFonts w:ascii="Cambria" w:hAnsi="Cambria" w:cs="Times New Roman"/>
          <w:sz w:val="22"/>
          <w:szCs w:val="22"/>
        </w:rPr>
        <w:t>and still felt hopeful when the Fall 2023 Unified Agenda stated TTB would issue the rulemakings in December 2023 and January 2024.</w:t>
      </w:r>
      <w:r w:rsidR="00430172" w:rsidRPr="00682652">
        <w:rPr>
          <w:rFonts w:ascii="Cambria" w:hAnsi="Cambria" w:cs="Times New Roman"/>
          <w:sz w:val="22"/>
          <w:szCs w:val="22"/>
        </w:rPr>
        <w:t xml:space="preserve"> Yet, the</w:t>
      </w:r>
      <w:r w:rsidR="002B6E35" w:rsidRPr="00682652">
        <w:rPr>
          <w:rFonts w:ascii="Cambria" w:hAnsi="Cambria" w:cs="Times New Roman"/>
          <w:sz w:val="22"/>
          <w:szCs w:val="22"/>
        </w:rPr>
        <w:t xml:space="preserve">se dates came and went without </w:t>
      </w:r>
      <w:r w:rsidR="00430172" w:rsidRPr="00682652">
        <w:rPr>
          <w:rFonts w:ascii="Cambria" w:hAnsi="Cambria" w:cs="Times New Roman"/>
          <w:sz w:val="22"/>
          <w:szCs w:val="22"/>
        </w:rPr>
        <w:t xml:space="preserve">any </w:t>
      </w:r>
      <w:r w:rsidR="002B6E35" w:rsidRPr="00682652">
        <w:rPr>
          <w:rFonts w:ascii="Cambria" w:hAnsi="Cambria" w:cs="Times New Roman"/>
          <w:sz w:val="22"/>
          <w:szCs w:val="22"/>
        </w:rPr>
        <w:t>proposed rule</w:t>
      </w:r>
      <w:r w:rsidR="003120C8" w:rsidRPr="00682652">
        <w:rPr>
          <w:rFonts w:ascii="Cambria" w:hAnsi="Cambria" w:cs="Times New Roman"/>
          <w:sz w:val="22"/>
          <w:szCs w:val="22"/>
        </w:rPr>
        <w:t>s</w:t>
      </w:r>
      <w:r w:rsidR="00EE24D7" w:rsidRPr="00682652">
        <w:rPr>
          <w:rFonts w:ascii="Cambria" w:hAnsi="Cambria" w:cs="Times New Roman"/>
          <w:sz w:val="22"/>
          <w:szCs w:val="22"/>
        </w:rPr>
        <w:t xml:space="preserve">. </w:t>
      </w:r>
    </w:p>
    <w:p w14:paraId="4EB5C090" w14:textId="77777777" w:rsidR="008F548F" w:rsidRPr="00682652" w:rsidRDefault="008F548F" w:rsidP="008F548F">
      <w:pPr>
        <w:spacing w:after="0" w:line="276" w:lineRule="auto"/>
        <w:ind w:left="-450"/>
        <w:rPr>
          <w:rFonts w:ascii="Cambria" w:hAnsi="Cambria" w:cs="Times New Roman"/>
          <w:sz w:val="22"/>
          <w:szCs w:val="22"/>
        </w:rPr>
      </w:pPr>
    </w:p>
    <w:p w14:paraId="6696CF05" w14:textId="21231A68" w:rsidR="00702C1E" w:rsidRPr="00682652" w:rsidRDefault="00430172" w:rsidP="008F548F">
      <w:pPr>
        <w:spacing w:after="0" w:line="276" w:lineRule="auto"/>
        <w:ind w:left="-450"/>
        <w:rPr>
          <w:rFonts w:ascii="Cambria" w:hAnsi="Cambria" w:cs="Times New Roman"/>
          <w:sz w:val="22"/>
          <w:szCs w:val="22"/>
        </w:rPr>
      </w:pPr>
      <w:r w:rsidRPr="00682652">
        <w:rPr>
          <w:rFonts w:ascii="Cambria" w:hAnsi="Cambria" w:cs="Times New Roman"/>
          <w:sz w:val="22"/>
          <w:szCs w:val="22"/>
        </w:rPr>
        <w:t>Now, we have been confronted with</w:t>
      </w:r>
      <w:r w:rsidR="00F72149" w:rsidRPr="00682652">
        <w:rPr>
          <w:rFonts w:ascii="Cambria" w:hAnsi="Cambria" w:cs="Times New Roman"/>
          <w:sz w:val="22"/>
          <w:szCs w:val="22"/>
        </w:rPr>
        <w:t xml:space="preserve"> a new reality</w:t>
      </w:r>
      <w:r w:rsidRPr="00682652">
        <w:rPr>
          <w:rFonts w:ascii="Cambria" w:hAnsi="Cambria" w:cs="Times New Roman"/>
          <w:sz w:val="22"/>
          <w:szCs w:val="22"/>
        </w:rPr>
        <w:t xml:space="preserve">: TTB is </w:t>
      </w:r>
      <w:r w:rsidR="0051405B" w:rsidRPr="00682652">
        <w:rPr>
          <w:rFonts w:ascii="Cambria" w:hAnsi="Cambria" w:cs="Times New Roman"/>
          <w:sz w:val="22"/>
          <w:szCs w:val="22"/>
        </w:rPr>
        <w:t xml:space="preserve">still </w:t>
      </w:r>
      <w:r w:rsidRPr="00682652">
        <w:rPr>
          <w:rFonts w:ascii="Cambria" w:hAnsi="Cambria" w:cs="Times New Roman"/>
          <w:sz w:val="22"/>
          <w:szCs w:val="22"/>
        </w:rPr>
        <w:t xml:space="preserve">following its 20-year playbook of </w:t>
      </w:r>
      <w:r w:rsidR="00F72149" w:rsidRPr="00682652">
        <w:rPr>
          <w:rFonts w:ascii="Cambria" w:hAnsi="Cambria" w:cs="Times New Roman"/>
          <w:sz w:val="22"/>
          <w:szCs w:val="22"/>
        </w:rPr>
        <w:t>delaying</w:t>
      </w:r>
      <w:r w:rsidR="00B843F5" w:rsidRPr="00682652">
        <w:rPr>
          <w:rFonts w:ascii="Cambria" w:hAnsi="Cambria" w:cs="Times New Roman"/>
          <w:sz w:val="22"/>
          <w:szCs w:val="22"/>
        </w:rPr>
        <w:t xml:space="preserve"> progress on alcohol labeling, </w:t>
      </w:r>
      <w:r w:rsidRPr="00682652">
        <w:rPr>
          <w:rFonts w:ascii="Cambria" w:hAnsi="Cambria" w:cs="Times New Roman"/>
          <w:sz w:val="22"/>
          <w:szCs w:val="22"/>
        </w:rPr>
        <w:t xml:space="preserve">this time by hosting a series of </w:t>
      </w:r>
      <w:r w:rsidR="00C74AFB" w:rsidRPr="00682652">
        <w:rPr>
          <w:rFonts w:ascii="Cambria" w:hAnsi="Cambria" w:cs="Times New Roman"/>
          <w:sz w:val="22"/>
          <w:szCs w:val="22"/>
        </w:rPr>
        <w:t>p</w:t>
      </w:r>
      <w:r w:rsidRPr="00682652">
        <w:rPr>
          <w:rStyle w:val="normaltextrun"/>
          <w:rFonts w:ascii="Cambria" w:hAnsi="Cambria"/>
          <w:sz w:val="22"/>
          <w:szCs w:val="22"/>
        </w:rPr>
        <w:t xml:space="preserve">ublic </w:t>
      </w:r>
      <w:r w:rsidR="008517DD" w:rsidRPr="00682652">
        <w:rPr>
          <w:rStyle w:val="normaltextrun"/>
          <w:rFonts w:ascii="Cambria" w:hAnsi="Cambria"/>
          <w:sz w:val="22"/>
          <w:szCs w:val="22"/>
        </w:rPr>
        <w:t>l</w:t>
      </w:r>
      <w:r w:rsidRPr="00682652">
        <w:rPr>
          <w:rStyle w:val="normaltextrun"/>
          <w:rFonts w:ascii="Cambria" w:hAnsi="Cambria"/>
          <w:sz w:val="22"/>
          <w:szCs w:val="22"/>
        </w:rPr>
        <w:t xml:space="preserve">istening </w:t>
      </w:r>
      <w:r w:rsidR="008517DD" w:rsidRPr="00682652">
        <w:rPr>
          <w:rStyle w:val="normaltextrun"/>
          <w:rFonts w:ascii="Cambria" w:hAnsi="Cambria"/>
          <w:sz w:val="22"/>
          <w:szCs w:val="22"/>
        </w:rPr>
        <w:t>s</w:t>
      </w:r>
      <w:r w:rsidRPr="00682652">
        <w:rPr>
          <w:rStyle w:val="normaltextrun"/>
          <w:rFonts w:ascii="Cambria" w:hAnsi="Cambria"/>
          <w:sz w:val="22"/>
          <w:szCs w:val="22"/>
        </w:rPr>
        <w:t xml:space="preserve">essions on </w:t>
      </w:r>
      <w:r w:rsidR="008517DD" w:rsidRPr="00682652">
        <w:rPr>
          <w:rStyle w:val="normaltextrun"/>
          <w:rFonts w:ascii="Cambria" w:hAnsi="Cambria"/>
          <w:sz w:val="22"/>
          <w:szCs w:val="22"/>
        </w:rPr>
        <w:t>l</w:t>
      </w:r>
      <w:r w:rsidRPr="00682652">
        <w:rPr>
          <w:rStyle w:val="normaltextrun"/>
          <w:rFonts w:ascii="Cambria" w:hAnsi="Cambria"/>
          <w:sz w:val="22"/>
          <w:szCs w:val="22"/>
        </w:rPr>
        <w:t xml:space="preserve">abeling and </w:t>
      </w:r>
      <w:r w:rsidR="008517DD" w:rsidRPr="00682652">
        <w:rPr>
          <w:rStyle w:val="normaltextrun"/>
          <w:rFonts w:ascii="Cambria" w:hAnsi="Cambria"/>
          <w:sz w:val="22"/>
          <w:szCs w:val="22"/>
        </w:rPr>
        <w:t>a</w:t>
      </w:r>
      <w:r w:rsidRPr="00682652">
        <w:rPr>
          <w:rStyle w:val="normaltextrun"/>
          <w:rFonts w:ascii="Cambria" w:hAnsi="Cambria"/>
          <w:sz w:val="22"/>
          <w:szCs w:val="22"/>
        </w:rPr>
        <w:t xml:space="preserve">dvertising of </w:t>
      </w:r>
      <w:r w:rsidR="008517DD" w:rsidRPr="00682652">
        <w:rPr>
          <w:rStyle w:val="normaltextrun"/>
          <w:rFonts w:ascii="Cambria" w:hAnsi="Cambria"/>
          <w:sz w:val="22"/>
          <w:szCs w:val="22"/>
        </w:rPr>
        <w:t>a</w:t>
      </w:r>
      <w:r w:rsidRPr="00682652">
        <w:rPr>
          <w:rStyle w:val="normaltextrun"/>
          <w:rFonts w:ascii="Cambria" w:hAnsi="Cambria"/>
          <w:sz w:val="22"/>
          <w:szCs w:val="22"/>
        </w:rPr>
        <w:t xml:space="preserve">lcoholic </w:t>
      </w:r>
      <w:r w:rsidR="008517DD" w:rsidRPr="00682652">
        <w:rPr>
          <w:rStyle w:val="normaltextrun"/>
          <w:rFonts w:ascii="Cambria" w:hAnsi="Cambria"/>
          <w:sz w:val="22"/>
          <w:szCs w:val="22"/>
        </w:rPr>
        <w:t>b</w:t>
      </w:r>
      <w:r w:rsidRPr="00682652">
        <w:rPr>
          <w:rStyle w:val="normaltextrun"/>
          <w:rFonts w:ascii="Cambria" w:hAnsi="Cambria"/>
          <w:sz w:val="22"/>
          <w:szCs w:val="22"/>
        </w:rPr>
        <w:t>everages</w:t>
      </w:r>
      <w:r w:rsidR="00F72149" w:rsidRPr="00682652">
        <w:rPr>
          <w:rStyle w:val="normaltextrun"/>
          <w:rFonts w:ascii="Cambria" w:hAnsi="Cambria"/>
          <w:sz w:val="22"/>
          <w:szCs w:val="22"/>
        </w:rPr>
        <w:t xml:space="preserve"> instead of moving directly to rulemaking</w:t>
      </w:r>
      <w:r w:rsidRPr="00682652">
        <w:rPr>
          <w:rStyle w:val="normaltextrun"/>
          <w:rFonts w:ascii="Cambria" w:hAnsi="Cambria"/>
          <w:sz w:val="22"/>
          <w:szCs w:val="22"/>
        </w:rPr>
        <w:t>.</w:t>
      </w:r>
      <w:r w:rsidR="008517DD" w:rsidRPr="00682652">
        <w:rPr>
          <w:rStyle w:val="EndnoteReference"/>
          <w:rFonts w:ascii="Cambria" w:hAnsi="Cambria"/>
          <w:sz w:val="22"/>
          <w:szCs w:val="22"/>
        </w:rPr>
        <w:endnoteReference w:id="4"/>
      </w:r>
    </w:p>
    <w:p w14:paraId="4A669F6A" w14:textId="77777777" w:rsidR="00702C1E" w:rsidRPr="00682652" w:rsidRDefault="00702C1E" w:rsidP="008F548F">
      <w:pPr>
        <w:spacing w:after="0" w:line="276" w:lineRule="auto"/>
        <w:ind w:left="-450"/>
        <w:rPr>
          <w:rFonts w:ascii="Cambria" w:hAnsi="Cambria" w:cs="Times New Roman"/>
          <w:sz w:val="22"/>
          <w:szCs w:val="22"/>
        </w:rPr>
      </w:pPr>
    </w:p>
    <w:p w14:paraId="3332F510" w14:textId="14E148FC" w:rsidR="003607A8" w:rsidRPr="00682652" w:rsidRDefault="00430172" w:rsidP="008F548F">
      <w:pPr>
        <w:spacing w:after="0" w:line="276" w:lineRule="auto"/>
        <w:ind w:left="-450"/>
        <w:rPr>
          <w:rFonts w:ascii="Cambria" w:hAnsi="Cambria" w:cs="Times New Roman"/>
          <w:sz w:val="22"/>
          <w:szCs w:val="22"/>
        </w:rPr>
      </w:pPr>
      <w:r w:rsidRPr="00682652">
        <w:rPr>
          <w:rFonts w:ascii="Cambria" w:hAnsi="Cambria" w:cs="Times New Roman"/>
          <w:sz w:val="22"/>
          <w:szCs w:val="22"/>
        </w:rPr>
        <w:t xml:space="preserve">TTB </w:t>
      </w:r>
      <w:r w:rsidR="00986D7E" w:rsidRPr="00682652">
        <w:rPr>
          <w:rFonts w:ascii="Cambria" w:hAnsi="Cambria" w:cs="Times New Roman"/>
          <w:sz w:val="22"/>
          <w:szCs w:val="22"/>
        </w:rPr>
        <w:t>sh</w:t>
      </w:r>
      <w:r w:rsidRPr="00682652">
        <w:rPr>
          <w:rFonts w:ascii="Cambria" w:hAnsi="Cambria" w:cs="Times New Roman"/>
          <w:sz w:val="22"/>
          <w:szCs w:val="22"/>
        </w:rPr>
        <w:t>ould have initiated public engagement back in November 2022 when the agency agreed to issue the rulemakings</w:t>
      </w:r>
      <w:r w:rsidR="00986D7E" w:rsidRPr="00682652">
        <w:rPr>
          <w:rFonts w:ascii="Cambria" w:hAnsi="Cambria" w:cs="Times New Roman"/>
          <w:sz w:val="22"/>
          <w:szCs w:val="22"/>
        </w:rPr>
        <w:t xml:space="preserve">, or </w:t>
      </w:r>
      <w:r w:rsidR="000F4160" w:rsidRPr="00682652">
        <w:rPr>
          <w:rFonts w:ascii="Cambria" w:hAnsi="Cambria" w:cs="Times New Roman"/>
          <w:sz w:val="22"/>
          <w:szCs w:val="22"/>
        </w:rPr>
        <w:t>earlier</w:t>
      </w:r>
      <w:r w:rsidR="00EE24D7" w:rsidRPr="00682652">
        <w:rPr>
          <w:rFonts w:ascii="Cambria" w:hAnsi="Cambria" w:cs="Times New Roman"/>
          <w:sz w:val="22"/>
          <w:szCs w:val="22"/>
        </w:rPr>
        <w:t xml:space="preserve">. </w:t>
      </w:r>
      <w:r w:rsidR="00CC5455" w:rsidRPr="00682652">
        <w:rPr>
          <w:rFonts w:ascii="Cambria" w:hAnsi="Cambria" w:cs="Times New Roman"/>
          <w:sz w:val="22"/>
          <w:szCs w:val="22"/>
        </w:rPr>
        <w:t>This delay leaves</w:t>
      </w:r>
      <w:r w:rsidRPr="00682652">
        <w:rPr>
          <w:rFonts w:ascii="Cambria" w:hAnsi="Cambria" w:cs="Times New Roman"/>
          <w:sz w:val="22"/>
          <w:szCs w:val="22"/>
        </w:rPr>
        <w:t xml:space="preserve"> many Americans </w:t>
      </w:r>
      <w:bookmarkStart w:id="0" w:name="_Hlk159517595"/>
      <w:r w:rsidRPr="00682652">
        <w:rPr>
          <w:rFonts w:ascii="Cambria" w:hAnsi="Cambria" w:cs="Times New Roman"/>
          <w:sz w:val="22"/>
          <w:szCs w:val="22"/>
        </w:rPr>
        <w:t>at higher risk for disability, disease</w:t>
      </w:r>
      <w:r w:rsidR="007D0283" w:rsidRPr="00682652">
        <w:rPr>
          <w:rFonts w:ascii="Cambria" w:hAnsi="Cambria" w:cs="Times New Roman"/>
          <w:sz w:val="22"/>
          <w:szCs w:val="22"/>
        </w:rPr>
        <w:t>,</w:t>
      </w:r>
      <w:r w:rsidRPr="00682652">
        <w:rPr>
          <w:rFonts w:ascii="Cambria" w:hAnsi="Cambria" w:cs="Times New Roman"/>
          <w:sz w:val="22"/>
          <w:szCs w:val="22"/>
        </w:rPr>
        <w:t xml:space="preserve"> and </w:t>
      </w:r>
      <w:r w:rsidR="007D0283" w:rsidRPr="00682652">
        <w:rPr>
          <w:rFonts w:ascii="Cambria" w:hAnsi="Cambria" w:cs="Times New Roman"/>
          <w:sz w:val="22"/>
          <w:szCs w:val="22"/>
        </w:rPr>
        <w:t>death</w:t>
      </w:r>
      <w:bookmarkEnd w:id="0"/>
      <w:r w:rsidRPr="00682652">
        <w:rPr>
          <w:rFonts w:ascii="Cambria" w:hAnsi="Cambria" w:cs="Times New Roman"/>
          <w:sz w:val="22"/>
          <w:szCs w:val="22"/>
        </w:rPr>
        <w:t xml:space="preserve">. </w:t>
      </w:r>
      <w:bookmarkStart w:id="1" w:name="_Hlk159517501"/>
      <w:r w:rsidR="004558EE" w:rsidRPr="00682652">
        <w:rPr>
          <w:rFonts w:ascii="Cambria" w:hAnsi="Cambria" w:cs="Times New Roman"/>
          <w:sz w:val="22"/>
          <w:szCs w:val="22"/>
        </w:rPr>
        <w:t>For</w:t>
      </w:r>
      <w:r w:rsidR="005451F6" w:rsidRPr="00682652">
        <w:rPr>
          <w:rFonts w:ascii="Cambria" w:hAnsi="Cambria" w:cs="Times New Roman"/>
          <w:sz w:val="22"/>
          <w:szCs w:val="22"/>
        </w:rPr>
        <w:t xml:space="preserve"> the </w:t>
      </w:r>
      <w:r w:rsidR="000A6598" w:rsidRPr="00682652">
        <w:rPr>
          <w:rFonts w:ascii="Cambria" w:hAnsi="Cambria" w:cs="Times New Roman"/>
          <w:sz w:val="22"/>
          <w:szCs w:val="22"/>
        </w:rPr>
        <w:t>84</w:t>
      </w:r>
      <w:r w:rsidR="008D1574" w:rsidRPr="00682652">
        <w:rPr>
          <w:rFonts w:ascii="Cambria" w:hAnsi="Cambria" w:cs="Times New Roman"/>
          <w:sz w:val="22"/>
          <w:szCs w:val="22"/>
        </w:rPr>
        <w:t xml:space="preserve"> </w:t>
      </w:r>
      <w:r w:rsidR="003A555A" w:rsidRPr="00682652">
        <w:rPr>
          <w:rFonts w:ascii="Cambria" w:hAnsi="Cambria" w:cs="Times New Roman"/>
          <w:sz w:val="22"/>
          <w:szCs w:val="22"/>
        </w:rPr>
        <w:t>percent of U.S. adults who drink alcoholic beverages</w:t>
      </w:r>
      <w:bookmarkEnd w:id="1"/>
      <w:r w:rsidR="003B3CC8" w:rsidRPr="00682652">
        <w:rPr>
          <w:rStyle w:val="EndnoteReference"/>
          <w:rFonts w:ascii="Cambria" w:hAnsi="Cambria" w:cs="Times New Roman"/>
          <w:sz w:val="22"/>
          <w:szCs w:val="22"/>
        </w:rPr>
        <w:endnoteReference w:id="5"/>
      </w:r>
      <w:r w:rsidR="003B3CC8" w:rsidRPr="00682652">
        <w:rPr>
          <w:rFonts w:ascii="Cambria" w:hAnsi="Cambria" w:cs="Times New Roman"/>
          <w:sz w:val="22"/>
          <w:szCs w:val="22"/>
        </w:rPr>
        <w:t xml:space="preserve"> –</w:t>
      </w:r>
      <w:r w:rsidR="00352D76" w:rsidRPr="00682652">
        <w:rPr>
          <w:rFonts w:ascii="Cambria" w:hAnsi="Cambria" w:cs="Times New Roman"/>
          <w:sz w:val="22"/>
          <w:szCs w:val="22"/>
        </w:rPr>
        <w:t>216</w:t>
      </w:r>
      <w:r w:rsidR="003B3CC8" w:rsidRPr="00682652">
        <w:rPr>
          <w:rFonts w:ascii="Cambria" w:hAnsi="Cambria" w:cs="Times New Roman"/>
          <w:sz w:val="22"/>
          <w:szCs w:val="22"/>
        </w:rPr>
        <w:t xml:space="preserve"> million people</w:t>
      </w:r>
      <w:r w:rsidR="003B3CC8" w:rsidRPr="00682652">
        <w:rPr>
          <w:rStyle w:val="EndnoteReference"/>
          <w:rFonts w:ascii="Cambria" w:hAnsi="Cambria" w:cs="Times New Roman"/>
          <w:sz w:val="22"/>
          <w:szCs w:val="22"/>
        </w:rPr>
        <w:endnoteReference w:id="6"/>
      </w:r>
      <w:r w:rsidR="003B3CC8" w:rsidRPr="00682652">
        <w:rPr>
          <w:rFonts w:ascii="Cambria" w:hAnsi="Cambria" w:cs="Times New Roman"/>
          <w:sz w:val="22"/>
          <w:szCs w:val="22"/>
        </w:rPr>
        <w:t xml:space="preserve"> – knowing what is in beer, wine</w:t>
      </w:r>
      <w:r w:rsidR="00B371FF" w:rsidRPr="00682652">
        <w:rPr>
          <w:rFonts w:ascii="Cambria" w:hAnsi="Cambria" w:cs="Times New Roman"/>
          <w:sz w:val="22"/>
          <w:szCs w:val="22"/>
        </w:rPr>
        <w:t>,</w:t>
      </w:r>
      <w:r w:rsidR="003B3CC8" w:rsidRPr="00682652">
        <w:rPr>
          <w:rFonts w:ascii="Cambria" w:hAnsi="Cambria" w:cs="Times New Roman"/>
          <w:sz w:val="22"/>
          <w:szCs w:val="22"/>
        </w:rPr>
        <w:t xml:space="preserve"> </w:t>
      </w:r>
      <w:r w:rsidR="00ED205B" w:rsidRPr="00682652">
        <w:rPr>
          <w:rFonts w:ascii="Cambria" w:hAnsi="Cambria" w:cs="Times New Roman"/>
          <w:sz w:val="22"/>
          <w:szCs w:val="22"/>
        </w:rPr>
        <w:t>and</w:t>
      </w:r>
      <w:r w:rsidR="003B3CC8" w:rsidRPr="00682652">
        <w:rPr>
          <w:rFonts w:ascii="Cambria" w:hAnsi="Cambria" w:cs="Times New Roman"/>
          <w:sz w:val="22"/>
          <w:szCs w:val="22"/>
        </w:rPr>
        <w:t xml:space="preserve"> distilled spirits would allow them to make informed decisions about alcohol consumption</w:t>
      </w:r>
      <w:r w:rsidR="001C7A1E" w:rsidRPr="00682652">
        <w:rPr>
          <w:rFonts w:ascii="Cambria" w:hAnsi="Cambria" w:cs="Times New Roman"/>
          <w:sz w:val="22"/>
          <w:szCs w:val="22"/>
        </w:rPr>
        <w:t xml:space="preserve"> to protect their own health and safety</w:t>
      </w:r>
      <w:r w:rsidR="00EE24D7" w:rsidRPr="00682652">
        <w:rPr>
          <w:rFonts w:ascii="Cambria" w:hAnsi="Cambria" w:cs="Times New Roman"/>
          <w:sz w:val="22"/>
          <w:szCs w:val="22"/>
        </w:rPr>
        <w:t xml:space="preserve">. </w:t>
      </w:r>
    </w:p>
    <w:p w14:paraId="46CF5D47" w14:textId="77777777" w:rsidR="003607A8" w:rsidRPr="00682652" w:rsidRDefault="003607A8" w:rsidP="003607A8">
      <w:pPr>
        <w:spacing w:after="0" w:line="276" w:lineRule="auto"/>
        <w:rPr>
          <w:rFonts w:ascii="Cambria" w:hAnsi="Cambria" w:cs="Times New Roman"/>
          <w:sz w:val="22"/>
          <w:szCs w:val="22"/>
        </w:rPr>
      </w:pPr>
    </w:p>
    <w:p w14:paraId="78410A83" w14:textId="36194677" w:rsidR="003B3CC8" w:rsidRPr="00682652" w:rsidRDefault="003B3CC8" w:rsidP="00702C1E">
      <w:pPr>
        <w:spacing w:after="0" w:line="276" w:lineRule="auto"/>
        <w:ind w:left="-450"/>
        <w:rPr>
          <w:rFonts w:ascii="Cambria" w:hAnsi="Cambria" w:cs="Times New Roman"/>
          <w:sz w:val="22"/>
          <w:szCs w:val="22"/>
        </w:rPr>
      </w:pPr>
      <w:r w:rsidRPr="00682652">
        <w:rPr>
          <w:rFonts w:ascii="Cambria" w:hAnsi="Cambria" w:cs="Times New Roman"/>
          <w:sz w:val="22"/>
          <w:szCs w:val="22"/>
        </w:rPr>
        <w:t xml:space="preserve">Overconsumption of alcohol is </w:t>
      </w:r>
      <w:r w:rsidRPr="00682652">
        <w:rPr>
          <w:rFonts w:ascii="Cambria" w:hAnsi="Cambria"/>
          <w:color w:val="000000"/>
          <w:sz w:val="22"/>
          <w:szCs w:val="22"/>
        </w:rPr>
        <w:t>a costly public health problem that has become much worse in recent years</w:t>
      </w:r>
      <w:r w:rsidR="00424C6C" w:rsidRPr="00682652">
        <w:rPr>
          <w:rFonts w:ascii="Cambria" w:hAnsi="Cambria"/>
          <w:color w:val="000000"/>
          <w:sz w:val="22"/>
          <w:szCs w:val="22"/>
        </w:rPr>
        <w:t>, as alcohol-related deaths have risen substantially</w:t>
      </w:r>
      <w:r w:rsidRPr="00682652">
        <w:rPr>
          <w:rFonts w:ascii="Cambria" w:hAnsi="Cambria"/>
          <w:color w:val="000000"/>
          <w:sz w:val="22"/>
          <w:szCs w:val="22"/>
        </w:rPr>
        <w:t>.</w:t>
      </w:r>
      <w:r w:rsidRPr="00682652">
        <w:rPr>
          <w:rStyle w:val="EndnoteReference"/>
          <w:rFonts w:ascii="Cambria" w:hAnsi="Cambria"/>
          <w:color w:val="000000"/>
          <w:sz w:val="22"/>
          <w:szCs w:val="22"/>
        </w:rPr>
        <w:endnoteReference w:id="7"/>
      </w:r>
      <w:r w:rsidRPr="00682652">
        <w:rPr>
          <w:rFonts w:ascii="Cambria" w:hAnsi="Cambria"/>
          <w:color w:val="000000"/>
          <w:sz w:val="22"/>
          <w:szCs w:val="22"/>
        </w:rPr>
        <w:t xml:space="preserve"> Alcohol is </w:t>
      </w:r>
      <w:r w:rsidR="00424C6C" w:rsidRPr="00682652">
        <w:rPr>
          <w:rFonts w:ascii="Cambria" w:hAnsi="Cambria"/>
          <w:color w:val="000000"/>
          <w:sz w:val="22"/>
          <w:szCs w:val="22"/>
        </w:rPr>
        <w:t xml:space="preserve">also </w:t>
      </w:r>
      <w:r w:rsidRPr="00682652">
        <w:rPr>
          <w:rFonts w:ascii="Cambria" w:hAnsi="Cambria"/>
          <w:color w:val="000000"/>
          <w:sz w:val="22"/>
          <w:szCs w:val="22"/>
        </w:rPr>
        <w:t xml:space="preserve">a source of </w:t>
      </w:r>
      <w:r w:rsidRPr="00682652">
        <w:rPr>
          <w:rFonts w:ascii="Cambria" w:hAnsi="Cambria"/>
          <w:color w:val="000000" w:themeColor="text1"/>
          <w:sz w:val="22"/>
          <w:szCs w:val="22"/>
        </w:rPr>
        <w:t xml:space="preserve">empty </w:t>
      </w:r>
      <w:r w:rsidRPr="00682652">
        <w:rPr>
          <w:rFonts w:ascii="Cambria" w:hAnsi="Cambria"/>
          <w:color w:val="000000"/>
          <w:sz w:val="22"/>
          <w:szCs w:val="22"/>
        </w:rPr>
        <w:t>calories that contribute to obesity,</w:t>
      </w:r>
      <w:r w:rsidRPr="00682652">
        <w:rPr>
          <w:rStyle w:val="EndnoteReference"/>
          <w:rFonts w:ascii="Cambria" w:hAnsi="Cambria"/>
          <w:color w:val="000000"/>
          <w:sz w:val="22"/>
          <w:szCs w:val="22"/>
        </w:rPr>
        <w:endnoteReference w:id="8"/>
      </w:r>
      <w:r w:rsidRPr="00682652">
        <w:rPr>
          <w:rFonts w:ascii="Cambria" w:hAnsi="Cambria"/>
          <w:color w:val="000000"/>
          <w:sz w:val="22"/>
          <w:szCs w:val="22"/>
        </w:rPr>
        <w:t xml:space="preserve"> and can impact blood sugar control in people with diabetes.</w:t>
      </w:r>
      <w:r w:rsidRPr="00682652">
        <w:rPr>
          <w:rStyle w:val="EndnoteReference"/>
          <w:rFonts w:ascii="Cambria" w:hAnsi="Cambria"/>
          <w:color w:val="000000"/>
          <w:sz w:val="22"/>
          <w:szCs w:val="22"/>
        </w:rPr>
        <w:endnoteReference w:id="9"/>
      </w:r>
      <w:r w:rsidRPr="00682652">
        <w:rPr>
          <w:rFonts w:ascii="Cambria" w:hAnsi="Cambria"/>
          <w:color w:val="000000"/>
          <w:sz w:val="22"/>
          <w:szCs w:val="22"/>
        </w:rPr>
        <w:t xml:space="preserve"> Additionally, alcohol is a roadway killer accounting for about</w:t>
      </w:r>
      <w:r w:rsidRPr="00682652">
        <w:rPr>
          <w:rFonts w:ascii="Cambria" w:hAnsi="Cambria" w:cs="Times New Roman"/>
          <w:sz w:val="22"/>
          <w:szCs w:val="22"/>
        </w:rPr>
        <w:t xml:space="preserve"> 30 percent of all traffic crash fatalities in</w:t>
      </w:r>
      <w:r w:rsidRPr="00682652">
        <w:rPr>
          <w:rFonts w:ascii="Cambria" w:eastAsiaTheme="minorEastAsia" w:hAnsi="Cambria"/>
          <w:sz w:val="22"/>
          <w:szCs w:val="22"/>
        </w:rPr>
        <w:t xml:space="preserve"> </w:t>
      </w:r>
      <w:r w:rsidRPr="00682652">
        <w:rPr>
          <w:rFonts w:ascii="Cambria" w:eastAsiaTheme="minorEastAsia" w:hAnsi="Cambria" w:cs="Times New Roman"/>
          <w:sz w:val="22"/>
          <w:szCs w:val="22"/>
        </w:rPr>
        <w:t>the U.S.</w:t>
      </w:r>
      <w:r w:rsidR="00AF533E" w:rsidRPr="00682652">
        <w:rPr>
          <w:rFonts w:ascii="Cambria" w:eastAsiaTheme="minorEastAsia" w:hAnsi="Cambria" w:cs="Times New Roman"/>
          <w:sz w:val="22"/>
          <w:szCs w:val="22"/>
        </w:rPr>
        <w:t>,</w:t>
      </w:r>
      <w:r w:rsidRPr="00682652">
        <w:rPr>
          <w:rStyle w:val="EndnoteReference"/>
          <w:rFonts w:ascii="Cambria" w:eastAsiaTheme="minorEastAsia" w:hAnsi="Cambria"/>
          <w:sz w:val="22"/>
          <w:szCs w:val="22"/>
        </w:rPr>
        <w:endnoteReference w:id="10"/>
      </w:r>
      <w:r w:rsidRPr="00682652">
        <w:rPr>
          <w:rFonts w:ascii="Cambria" w:eastAsiaTheme="minorEastAsia" w:hAnsi="Cambria" w:cs="Times New Roman"/>
          <w:sz w:val="22"/>
          <w:szCs w:val="22"/>
        </w:rPr>
        <w:t xml:space="preserve"> and excessive drinking </w:t>
      </w:r>
      <w:r w:rsidRPr="00682652">
        <w:rPr>
          <w:rFonts w:ascii="Cambria" w:hAnsi="Cambria"/>
          <w:color w:val="000000"/>
          <w:sz w:val="22"/>
          <w:szCs w:val="22"/>
        </w:rPr>
        <w:t>increases the risk of liver disease, hypertension, cardiovascular disease, alcohol use disorders, certain cancers</w:t>
      </w:r>
      <w:r w:rsidR="00036DBE" w:rsidRPr="00682652">
        <w:rPr>
          <w:rFonts w:ascii="Cambria" w:hAnsi="Cambria"/>
          <w:color w:val="000000"/>
          <w:sz w:val="22"/>
          <w:szCs w:val="22"/>
        </w:rPr>
        <w:t>,</w:t>
      </w:r>
      <w:r w:rsidRPr="00682652">
        <w:rPr>
          <w:rFonts w:ascii="Cambria" w:hAnsi="Cambria"/>
          <w:color w:val="000000"/>
          <w:sz w:val="22"/>
          <w:szCs w:val="22"/>
        </w:rPr>
        <w:t xml:space="preserve"> and severe injuries.</w:t>
      </w:r>
      <w:r w:rsidRPr="00682652">
        <w:rPr>
          <w:rStyle w:val="EndnoteReference"/>
          <w:rFonts w:ascii="Cambria" w:hAnsi="Cambria"/>
          <w:color w:val="000000"/>
          <w:sz w:val="22"/>
          <w:szCs w:val="22"/>
        </w:rPr>
        <w:endnoteReference w:id="11"/>
      </w:r>
      <w:r w:rsidRPr="00682652">
        <w:rPr>
          <w:rFonts w:ascii="Cambria" w:hAnsi="Cambria"/>
          <w:color w:val="000000" w:themeColor="text1"/>
          <w:sz w:val="22"/>
          <w:szCs w:val="22"/>
        </w:rPr>
        <w:t xml:space="preserve"> </w:t>
      </w:r>
    </w:p>
    <w:p w14:paraId="1076FC34" w14:textId="77777777" w:rsidR="003607A8" w:rsidRPr="00682652" w:rsidRDefault="003607A8" w:rsidP="003607A8">
      <w:pPr>
        <w:spacing w:after="0" w:line="276" w:lineRule="auto"/>
        <w:rPr>
          <w:rFonts w:ascii="Cambria" w:hAnsi="Cambria"/>
          <w:color w:val="000000" w:themeColor="text1"/>
          <w:sz w:val="22"/>
          <w:szCs w:val="22"/>
        </w:rPr>
      </w:pPr>
    </w:p>
    <w:p w14:paraId="720322B5" w14:textId="22973651" w:rsidR="00BC14F8" w:rsidRPr="00682652" w:rsidRDefault="003B3CC8" w:rsidP="00702C1E">
      <w:pPr>
        <w:spacing w:after="0" w:line="276" w:lineRule="auto"/>
        <w:ind w:left="-450"/>
        <w:rPr>
          <w:rFonts w:ascii="Cambria" w:hAnsi="Cambria"/>
          <w:color w:val="000000" w:themeColor="text1"/>
          <w:sz w:val="22"/>
          <w:szCs w:val="22"/>
        </w:rPr>
      </w:pPr>
      <w:r w:rsidRPr="00682652">
        <w:rPr>
          <w:rFonts w:ascii="Cambria" w:hAnsi="Cambria"/>
          <w:color w:val="000000" w:themeColor="text1"/>
          <w:sz w:val="22"/>
          <w:szCs w:val="22"/>
        </w:rPr>
        <w:t xml:space="preserve">The failure to list allergens is of particular concern. Unlike other foods and beverages, manufacturers of </w:t>
      </w:r>
      <w:r w:rsidR="001C7335" w:rsidRPr="00682652">
        <w:rPr>
          <w:rFonts w:ascii="Cambria" w:hAnsi="Cambria"/>
          <w:color w:val="000000" w:themeColor="text1"/>
          <w:sz w:val="22"/>
          <w:szCs w:val="22"/>
        </w:rPr>
        <w:t xml:space="preserve">TTB-regulated </w:t>
      </w:r>
      <w:r w:rsidRPr="00682652">
        <w:rPr>
          <w:rFonts w:ascii="Cambria" w:hAnsi="Cambria"/>
          <w:color w:val="000000" w:themeColor="text1"/>
          <w:sz w:val="22"/>
          <w:szCs w:val="22"/>
        </w:rPr>
        <w:t>beer, wine and distilled spirits are not required to declare the presence of major allergens, which may be used as processing agents or as ingredients.</w:t>
      </w:r>
      <w:r w:rsidRPr="00682652">
        <w:rPr>
          <w:rStyle w:val="EndnoteReference"/>
          <w:rFonts w:ascii="Cambria" w:hAnsi="Cambria"/>
          <w:color w:val="000000" w:themeColor="text1"/>
          <w:sz w:val="22"/>
          <w:szCs w:val="22"/>
        </w:rPr>
        <w:endnoteReference w:id="12"/>
      </w:r>
      <w:r w:rsidRPr="00682652">
        <w:rPr>
          <w:rFonts w:ascii="Cambria" w:hAnsi="Cambria"/>
          <w:color w:val="000000" w:themeColor="text1"/>
          <w:sz w:val="22"/>
          <w:szCs w:val="22"/>
          <w:vertAlign w:val="superscript"/>
        </w:rPr>
        <w:t>,</w:t>
      </w:r>
      <w:r w:rsidRPr="00682652">
        <w:rPr>
          <w:rStyle w:val="EndnoteReference"/>
          <w:rFonts w:ascii="Cambria" w:hAnsi="Cambria"/>
          <w:color w:val="000000" w:themeColor="text1"/>
          <w:sz w:val="22"/>
          <w:szCs w:val="22"/>
        </w:rPr>
        <w:endnoteReference w:id="13"/>
      </w:r>
      <w:r w:rsidRPr="00682652">
        <w:rPr>
          <w:rFonts w:ascii="Cambria" w:hAnsi="Cambria"/>
          <w:color w:val="000000" w:themeColor="text1"/>
          <w:sz w:val="22"/>
          <w:szCs w:val="22"/>
          <w:vertAlign w:val="superscript"/>
        </w:rPr>
        <w:t>,</w:t>
      </w:r>
      <w:r w:rsidRPr="00682652">
        <w:rPr>
          <w:rStyle w:val="EndnoteReference"/>
          <w:rFonts w:ascii="Cambria" w:hAnsi="Cambria"/>
          <w:color w:val="000000" w:themeColor="text1"/>
          <w:sz w:val="22"/>
          <w:szCs w:val="22"/>
        </w:rPr>
        <w:endnoteReference w:id="14"/>
      </w:r>
      <w:r w:rsidRPr="00682652">
        <w:rPr>
          <w:rFonts w:ascii="Cambria" w:hAnsi="Cambria"/>
          <w:color w:val="000000" w:themeColor="text1"/>
          <w:sz w:val="22"/>
          <w:szCs w:val="22"/>
          <w:vertAlign w:val="superscript"/>
        </w:rPr>
        <w:t xml:space="preserve">  </w:t>
      </w:r>
      <w:r w:rsidRPr="00682652">
        <w:rPr>
          <w:rFonts w:ascii="Cambria" w:hAnsi="Cambria"/>
          <w:color w:val="000000" w:themeColor="text1"/>
          <w:sz w:val="22"/>
          <w:szCs w:val="22"/>
        </w:rPr>
        <w:t>The disclosure of allergen information is a life-and-death matter for some consumers and is the reason why the Food Allergen Labeling and Consumer Protection Act of 2004 (FALCPA) requires allergen labeling on all Food and Drug Administration (FDA)-regulated foods and beverages. However, FALCPA does not apply to most alcoholic beverages</w:t>
      </w:r>
      <w:r w:rsidR="00385467" w:rsidRPr="00682652">
        <w:rPr>
          <w:rFonts w:ascii="Cambria" w:hAnsi="Cambria"/>
          <w:color w:val="000000" w:themeColor="text1"/>
          <w:sz w:val="22"/>
          <w:szCs w:val="22"/>
        </w:rPr>
        <w:t>,</w:t>
      </w:r>
      <w:r w:rsidRPr="00682652">
        <w:rPr>
          <w:rFonts w:ascii="Cambria" w:hAnsi="Cambria"/>
          <w:color w:val="000000" w:themeColor="text1"/>
          <w:sz w:val="22"/>
          <w:szCs w:val="22"/>
        </w:rPr>
        <w:t xml:space="preserve"> and even though a 2004 House committee report on FALCPA stated Congress’s intent that TTB develop allergen labeling requirements for beer, wine and distilled spirits,</w:t>
      </w:r>
      <w:r w:rsidRPr="00682652">
        <w:rPr>
          <w:rStyle w:val="EndnoteReference"/>
          <w:rFonts w:ascii="Cambria" w:hAnsi="Cambria"/>
          <w:color w:val="000000" w:themeColor="text1"/>
          <w:sz w:val="22"/>
          <w:szCs w:val="22"/>
        </w:rPr>
        <w:endnoteReference w:id="15"/>
      </w:r>
      <w:r w:rsidRPr="00682652">
        <w:rPr>
          <w:rFonts w:ascii="Cambria" w:hAnsi="Cambria"/>
          <w:color w:val="000000" w:themeColor="text1"/>
          <w:sz w:val="22"/>
          <w:szCs w:val="22"/>
        </w:rPr>
        <w:t xml:space="preserve"> </w:t>
      </w:r>
      <w:r w:rsidR="00B843F5" w:rsidRPr="00682652">
        <w:rPr>
          <w:rFonts w:ascii="Cambria" w:hAnsi="Cambria"/>
          <w:color w:val="000000" w:themeColor="text1"/>
          <w:sz w:val="22"/>
          <w:szCs w:val="22"/>
        </w:rPr>
        <w:t>the agency</w:t>
      </w:r>
      <w:r w:rsidR="00BC14F8" w:rsidRPr="00682652">
        <w:rPr>
          <w:rFonts w:ascii="Cambria" w:hAnsi="Cambria"/>
          <w:color w:val="000000" w:themeColor="text1"/>
          <w:sz w:val="22"/>
          <w:szCs w:val="22"/>
        </w:rPr>
        <w:t xml:space="preserve"> has not finalized a mandatory rule</w:t>
      </w:r>
      <w:r w:rsidR="00B843F5" w:rsidRPr="00682652">
        <w:rPr>
          <w:rFonts w:ascii="Cambria" w:hAnsi="Cambria"/>
          <w:color w:val="000000" w:themeColor="text1"/>
          <w:sz w:val="22"/>
          <w:szCs w:val="22"/>
        </w:rPr>
        <w:t xml:space="preserve"> – 20 years later.</w:t>
      </w:r>
    </w:p>
    <w:p w14:paraId="04F716F1" w14:textId="77777777" w:rsidR="003607A8" w:rsidRPr="00682652" w:rsidRDefault="003607A8" w:rsidP="003607A8">
      <w:pPr>
        <w:spacing w:after="0" w:line="276" w:lineRule="auto"/>
        <w:rPr>
          <w:rFonts w:ascii="Cambria" w:hAnsi="Cambria"/>
          <w:color w:val="000000"/>
          <w:sz w:val="22"/>
          <w:szCs w:val="22"/>
        </w:rPr>
      </w:pPr>
    </w:p>
    <w:p w14:paraId="295F6510" w14:textId="6353C8BD" w:rsidR="008F548F" w:rsidRPr="00682652" w:rsidRDefault="00B843F5" w:rsidP="00702C1E">
      <w:pPr>
        <w:spacing w:after="0" w:line="276" w:lineRule="auto"/>
        <w:ind w:left="-450"/>
        <w:rPr>
          <w:rFonts w:ascii="Cambria" w:hAnsi="Cambria"/>
          <w:color w:val="000000"/>
          <w:sz w:val="22"/>
          <w:szCs w:val="22"/>
        </w:rPr>
      </w:pPr>
      <w:r w:rsidRPr="00682652">
        <w:rPr>
          <w:rFonts w:ascii="Cambria" w:hAnsi="Cambria"/>
          <w:color w:val="000000"/>
          <w:sz w:val="22"/>
          <w:szCs w:val="22"/>
        </w:rPr>
        <w:t xml:space="preserve">The FDA also has authority </w:t>
      </w:r>
      <w:r w:rsidR="00A17A01" w:rsidRPr="00682652">
        <w:rPr>
          <w:rFonts w:ascii="Cambria" w:hAnsi="Cambria"/>
          <w:color w:val="000000"/>
          <w:sz w:val="22"/>
          <w:szCs w:val="22"/>
        </w:rPr>
        <w:t>over the labeling of some alcoholic beverage products, notably wines containing less than 7 percent alcohol by volume</w:t>
      </w:r>
      <w:r w:rsidR="00D56D10" w:rsidRPr="00682652">
        <w:rPr>
          <w:rFonts w:ascii="Cambria" w:hAnsi="Cambria"/>
          <w:color w:val="000000"/>
          <w:sz w:val="22"/>
          <w:szCs w:val="22"/>
        </w:rPr>
        <w:t xml:space="preserve"> (</w:t>
      </w:r>
      <w:r w:rsidR="00D56D10" w:rsidRPr="00682652">
        <w:rPr>
          <w:rFonts w:ascii="Cambria" w:hAnsi="Cambria"/>
          <w:i/>
          <w:iCs/>
          <w:color w:val="000000"/>
          <w:sz w:val="22"/>
          <w:szCs w:val="22"/>
        </w:rPr>
        <w:t>e.g.</w:t>
      </w:r>
      <w:r w:rsidR="00D56D10" w:rsidRPr="00682652">
        <w:rPr>
          <w:rFonts w:ascii="Cambria" w:hAnsi="Cambria"/>
          <w:color w:val="000000"/>
          <w:sz w:val="22"/>
          <w:szCs w:val="22"/>
        </w:rPr>
        <w:t xml:space="preserve">, some hard ciders and wine coolers) </w:t>
      </w:r>
      <w:r w:rsidR="00A17A01" w:rsidRPr="00682652">
        <w:rPr>
          <w:rFonts w:ascii="Cambria" w:hAnsi="Cambria"/>
          <w:color w:val="000000"/>
          <w:sz w:val="22"/>
          <w:szCs w:val="22"/>
        </w:rPr>
        <w:t>and beers not made from malted barley or hops</w:t>
      </w:r>
      <w:r w:rsidR="00D56D10" w:rsidRPr="00682652">
        <w:rPr>
          <w:rFonts w:ascii="Cambria" w:hAnsi="Cambria"/>
          <w:color w:val="000000"/>
          <w:sz w:val="22"/>
          <w:szCs w:val="22"/>
        </w:rPr>
        <w:t xml:space="preserve"> (</w:t>
      </w:r>
      <w:r w:rsidR="00D56D10" w:rsidRPr="00682652">
        <w:rPr>
          <w:rFonts w:ascii="Cambria" w:hAnsi="Cambria"/>
          <w:i/>
          <w:iCs/>
          <w:color w:val="000000"/>
          <w:sz w:val="22"/>
          <w:szCs w:val="22"/>
        </w:rPr>
        <w:t>e.g.</w:t>
      </w:r>
      <w:r w:rsidR="00D56D10" w:rsidRPr="00682652">
        <w:rPr>
          <w:rFonts w:ascii="Cambria" w:hAnsi="Cambria"/>
          <w:color w:val="000000"/>
          <w:sz w:val="22"/>
          <w:szCs w:val="22"/>
        </w:rPr>
        <w:t>, some hard seltzers)</w:t>
      </w:r>
      <w:r w:rsidR="00A17A01" w:rsidRPr="00682652">
        <w:rPr>
          <w:rFonts w:ascii="Cambria" w:hAnsi="Cambria"/>
          <w:color w:val="000000"/>
          <w:sz w:val="22"/>
          <w:szCs w:val="22"/>
        </w:rPr>
        <w:t xml:space="preserve">. </w:t>
      </w:r>
      <w:r w:rsidR="00422F54" w:rsidRPr="00682652">
        <w:rPr>
          <w:rFonts w:ascii="Cambria" w:hAnsi="Cambria"/>
          <w:color w:val="000000"/>
          <w:sz w:val="22"/>
          <w:szCs w:val="22"/>
        </w:rPr>
        <w:t>For</w:t>
      </w:r>
      <w:r w:rsidR="00A17A01" w:rsidRPr="00682652">
        <w:rPr>
          <w:rFonts w:ascii="Cambria" w:hAnsi="Cambria"/>
          <w:color w:val="000000"/>
          <w:sz w:val="22"/>
          <w:szCs w:val="22"/>
        </w:rPr>
        <w:t xml:space="preserve"> these alcoholic beverages, FDA requires the same Nutrition Facts panel and ingredients statements</w:t>
      </w:r>
      <w:r w:rsidR="00826496" w:rsidRPr="00682652">
        <w:rPr>
          <w:rFonts w:ascii="Cambria" w:hAnsi="Cambria"/>
          <w:color w:val="000000"/>
          <w:sz w:val="22"/>
          <w:szCs w:val="22"/>
        </w:rPr>
        <w:t xml:space="preserve"> </w:t>
      </w:r>
      <w:r w:rsidR="00D56D10" w:rsidRPr="00682652">
        <w:rPr>
          <w:rFonts w:ascii="Cambria" w:hAnsi="Cambria"/>
          <w:color w:val="000000"/>
          <w:sz w:val="22"/>
          <w:szCs w:val="22"/>
        </w:rPr>
        <w:t>that</w:t>
      </w:r>
      <w:r w:rsidR="00826496" w:rsidRPr="00682652">
        <w:rPr>
          <w:rFonts w:ascii="Cambria" w:hAnsi="Cambria"/>
          <w:color w:val="000000"/>
          <w:sz w:val="22"/>
          <w:szCs w:val="22"/>
        </w:rPr>
        <w:t xml:space="preserve"> it requires</w:t>
      </w:r>
      <w:r w:rsidR="00A17A01" w:rsidRPr="00682652">
        <w:rPr>
          <w:rFonts w:ascii="Cambria" w:hAnsi="Cambria"/>
          <w:color w:val="000000"/>
          <w:sz w:val="22"/>
          <w:szCs w:val="22"/>
        </w:rPr>
        <w:t xml:space="preserve"> on nonalcoholic beverages, from soft drinks to juices, and alcohol companies comply. Thus, there is proof that manufacturers have the ability to put standardized “</w:t>
      </w:r>
      <w:r w:rsidR="00826496" w:rsidRPr="00682652">
        <w:rPr>
          <w:rFonts w:ascii="Cambria" w:hAnsi="Cambria"/>
          <w:color w:val="000000"/>
          <w:sz w:val="22"/>
          <w:szCs w:val="22"/>
        </w:rPr>
        <w:t>Serving</w:t>
      </w:r>
      <w:r w:rsidR="00A17A01" w:rsidRPr="00682652">
        <w:rPr>
          <w:rFonts w:ascii="Cambria" w:hAnsi="Cambria"/>
          <w:color w:val="000000"/>
          <w:sz w:val="22"/>
          <w:szCs w:val="22"/>
        </w:rPr>
        <w:t xml:space="preserve"> Facts” label</w:t>
      </w:r>
      <w:r w:rsidR="00826496" w:rsidRPr="00682652">
        <w:rPr>
          <w:rFonts w:ascii="Cambria" w:hAnsi="Cambria"/>
          <w:color w:val="000000"/>
          <w:sz w:val="22"/>
          <w:szCs w:val="22"/>
        </w:rPr>
        <w:t>s</w:t>
      </w:r>
      <w:r w:rsidR="00A17A01" w:rsidRPr="00682652">
        <w:rPr>
          <w:rFonts w:ascii="Cambria" w:hAnsi="Cambria"/>
          <w:color w:val="000000"/>
          <w:sz w:val="22"/>
          <w:szCs w:val="22"/>
        </w:rPr>
        <w:t xml:space="preserve"> on beer, wine</w:t>
      </w:r>
      <w:r w:rsidR="00257A54" w:rsidRPr="00682652">
        <w:rPr>
          <w:rFonts w:ascii="Cambria" w:hAnsi="Cambria"/>
          <w:color w:val="000000"/>
          <w:sz w:val="22"/>
          <w:szCs w:val="22"/>
        </w:rPr>
        <w:t>,</w:t>
      </w:r>
      <w:r w:rsidR="00A17A01" w:rsidRPr="00682652">
        <w:rPr>
          <w:rFonts w:ascii="Cambria" w:hAnsi="Cambria"/>
          <w:color w:val="000000"/>
          <w:sz w:val="22"/>
          <w:szCs w:val="22"/>
        </w:rPr>
        <w:t xml:space="preserve"> and distilled spirits products – many just prefer to</w:t>
      </w:r>
      <w:r w:rsidR="005911EE" w:rsidRPr="00682652">
        <w:rPr>
          <w:rFonts w:ascii="Cambria" w:hAnsi="Cambria"/>
          <w:color w:val="000000"/>
          <w:sz w:val="22"/>
          <w:szCs w:val="22"/>
        </w:rPr>
        <w:t xml:space="preserve"> withhold this information from their customers</w:t>
      </w:r>
      <w:r w:rsidR="00B613ED" w:rsidRPr="00682652">
        <w:rPr>
          <w:rFonts w:ascii="Cambria" w:hAnsi="Cambria"/>
          <w:color w:val="000000"/>
          <w:sz w:val="22"/>
          <w:szCs w:val="22"/>
        </w:rPr>
        <w:t xml:space="preserve">. </w:t>
      </w:r>
    </w:p>
    <w:p w14:paraId="7367D78A" w14:textId="77777777" w:rsidR="008F548F" w:rsidRPr="00682652" w:rsidRDefault="008F548F" w:rsidP="003607A8">
      <w:pPr>
        <w:spacing w:after="0" w:line="276" w:lineRule="auto"/>
        <w:rPr>
          <w:rFonts w:ascii="Cambria" w:hAnsi="Cambria"/>
          <w:color w:val="000000"/>
          <w:sz w:val="22"/>
          <w:szCs w:val="22"/>
        </w:rPr>
      </w:pPr>
    </w:p>
    <w:p w14:paraId="6764AED0" w14:textId="0A4F1B92" w:rsidR="00702C1E" w:rsidRPr="00682652" w:rsidRDefault="00BF33E1" w:rsidP="00682652">
      <w:pPr>
        <w:spacing w:after="0" w:line="276" w:lineRule="auto"/>
        <w:ind w:left="-450"/>
        <w:rPr>
          <w:rFonts w:ascii="Cambria" w:hAnsi="Cambria"/>
          <w:color w:val="000000"/>
          <w:sz w:val="22"/>
          <w:szCs w:val="22"/>
        </w:rPr>
      </w:pPr>
      <w:r w:rsidRPr="00682652">
        <w:rPr>
          <w:rFonts w:ascii="Cambria" w:hAnsi="Cambria"/>
          <w:color w:val="000000"/>
          <w:sz w:val="22"/>
          <w:szCs w:val="22"/>
        </w:rPr>
        <w:t xml:space="preserve">TTB has </w:t>
      </w:r>
      <w:r w:rsidR="005911EE" w:rsidRPr="00682652">
        <w:rPr>
          <w:rFonts w:ascii="Cambria" w:hAnsi="Cambria"/>
          <w:color w:val="000000"/>
          <w:sz w:val="22"/>
          <w:szCs w:val="22"/>
        </w:rPr>
        <w:t xml:space="preserve">in effect </w:t>
      </w:r>
      <w:r w:rsidRPr="00682652">
        <w:rPr>
          <w:rFonts w:ascii="Cambria" w:hAnsi="Cambria"/>
          <w:color w:val="000000"/>
          <w:sz w:val="22"/>
          <w:szCs w:val="22"/>
        </w:rPr>
        <w:t xml:space="preserve">enabled recalcitrant companies by delaying indefinitely rulemakings on mandatory alcohol labeling while opting </w:t>
      </w:r>
      <w:r w:rsidRPr="00682652">
        <w:rPr>
          <w:rFonts w:ascii="Cambria" w:hAnsi="Cambria"/>
          <w:color w:val="000000" w:themeColor="text1"/>
          <w:sz w:val="22"/>
          <w:szCs w:val="22"/>
        </w:rPr>
        <w:t xml:space="preserve">for a voluntary </w:t>
      </w:r>
      <w:r w:rsidRPr="00682652">
        <w:rPr>
          <w:rFonts w:ascii="Cambria" w:eastAsiaTheme="majorEastAsia" w:hAnsi="Cambria"/>
          <w:color w:val="000000" w:themeColor="text1"/>
          <w:sz w:val="22"/>
          <w:szCs w:val="22"/>
        </w:rPr>
        <w:t>rule under which labeling</w:t>
      </w:r>
      <w:bookmarkStart w:id="2" w:name="_Hlk156723312"/>
      <w:r w:rsidR="00CE2C7E" w:rsidRPr="00682652">
        <w:rPr>
          <w:rFonts w:ascii="Cambria" w:hAnsi="Cambria"/>
          <w:color w:val="000000"/>
          <w:sz w:val="22"/>
          <w:szCs w:val="22"/>
        </w:rPr>
        <w:t xml:space="preserve"> “Serving Facts” or “Alcohol Facts” </w:t>
      </w:r>
      <w:r w:rsidR="002971BB" w:rsidRPr="00682652">
        <w:rPr>
          <w:rFonts w:ascii="Cambria" w:hAnsi="Cambria"/>
          <w:color w:val="000000"/>
          <w:sz w:val="22"/>
          <w:szCs w:val="22"/>
        </w:rPr>
        <w:t xml:space="preserve">and ingredients </w:t>
      </w:r>
      <w:r w:rsidRPr="00682652">
        <w:rPr>
          <w:rFonts w:ascii="Cambria" w:hAnsi="Cambria"/>
          <w:color w:val="000000"/>
          <w:sz w:val="22"/>
          <w:szCs w:val="22"/>
        </w:rPr>
        <w:t xml:space="preserve">are optional decisions for manufacturers and there are no requirements for formatting when the information is provided. </w:t>
      </w:r>
      <w:r w:rsidR="00AA5AA8" w:rsidRPr="00682652">
        <w:rPr>
          <w:rFonts w:ascii="Cambria" w:hAnsi="Cambria"/>
          <w:color w:val="000000"/>
          <w:sz w:val="22"/>
          <w:szCs w:val="22"/>
        </w:rPr>
        <w:t>However</w:t>
      </w:r>
      <w:r w:rsidRPr="00682652">
        <w:rPr>
          <w:rFonts w:ascii="Cambria" w:hAnsi="Cambria"/>
          <w:color w:val="000000"/>
          <w:sz w:val="22"/>
          <w:szCs w:val="22"/>
        </w:rPr>
        <w:t xml:space="preserve">, because TTB’s rule </w:t>
      </w:r>
      <w:r w:rsidR="00173A8E" w:rsidRPr="00682652">
        <w:rPr>
          <w:rFonts w:ascii="Cambria" w:hAnsi="Cambria"/>
          <w:color w:val="000000"/>
          <w:sz w:val="22"/>
          <w:szCs w:val="22"/>
        </w:rPr>
        <w:t xml:space="preserve">is voluntary, </w:t>
      </w:r>
      <w:r w:rsidR="00CE2C7E" w:rsidRPr="00682652">
        <w:rPr>
          <w:rFonts w:ascii="Cambria" w:hAnsi="Cambria"/>
          <w:color w:val="000000"/>
          <w:sz w:val="22"/>
          <w:szCs w:val="22"/>
        </w:rPr>
        <w:t>most manufacturers have opted not to label their products</w:t>
      </w:r>
      <w:r w:rsidR="00895751" w:rsidRPr="00682652">
        <w:rPr>
          <w:rFonts w:ascii="Cambria" w:hAnsi="Cambria"/>
          <w:color w:val="000000"/>
          <w:sz w:val="22"/>
          <w:szCs w:val="22"/>
        </w:rPr>
        <w:t>,</w:t>
      </w:r>
      <w:r w:rsidR="00CE2C7E" w:rsidRPr="00682652">
        <w:rPr>
          <w:rFonts w:ascii="Cambria" w:hAnsi="Cambria"/>
          <w:color w:val="000000"/>
          <w:sz w:val="22"/>
          <w:szCs w:val="22"/>
        </w:rPr>
        <w:t xml:space="preserve"> and on products that do have the label</w:t>
      </w:r>
      <w:r w:rsidR="00895751" w:rsidRPr="00682652">
        <w:rPr>
          <w:rFonts w:ascii="Cambria" w:hAnsi="Cambria"/>
          <w:color w:val="000000"/>
          <w:sz w:val="22"/>
          <w:szCs w:val="22"/>
        </w:rPr>
        <w:t>,</w:t>
      </w:r>
      <w:r w:rsidR="00CE2C7E" w:rsidRPr="00682652">
        <w:rPr>
          <w:rFonts w:ascii="Cambria" w:hAnsi="Cambria"/>
          <w:color w:val="000000"/>
          <w:sz w:val="22"/>
          <w:szCs w:val="22"/>
        </w:rPr>
        <w:t xml:space="preserve"> it</w:t>
      </w:r>
      <w:r w:rsidR="00895751" w:rsidRPr="00682652">
        <w:rPr>
          <w:rFonts w:ascii="Cambria" w:hAnsi="Cambria"/>
          <w:color w:val="000000"/>
          <w:sz w:val="22"/>
          <w:szCs w:val="22"/>
        </w:rPr>
        <w:t xml:space="preserve"> i</w:t>
      </w:r>
      <w:r w:rsidR="00CE2C7E" w:rsidRPr="00682652">
        <w:rPr>
          <w:rFonts w:ascii="Cambria" w:hAnsi="Cambria"/>
          <w:color w:val="000000"/>
          <w:sz w:val="22"/>
          <w:szCs w:val="22"/>
        </w:rPr>
        <w:t>s often difficult to read or hard to find</w:t>
      </w:r>
      <w:r w:rsidR="00173A8E" w:rsidRPr="00682652">
        <w:rPr>
          <w:rFonts w:ascii="Cambria" w:hAnsi="Cambria"/>
          <w:color w:val="000000"/>
          <w:sz w:val="22"/>
          <w:szCs w:val="22"/>
        </w:rPr>
        <w:t xml:space="preserve">. </w:t>
      </w:r>
    </w:p>
    <w:p w14:paraId="5C2EB87A" w14:textId="77777777" w:rsidR="00702C1E" w:rsidRPr="00682652" w:rsidRDefault="00702C1E" w:rsidP="003607A8">
      <w:pPr>
        <w:pStyle w:val="NormalWeb"/>
        <w:spacing w:before="0" w:beforeAutospacing="0" w:after="0" w:afterAutospacing="0" w:line="276" w:lineRule="auto"/>
        <w:rPr>
          <w:rFonts w:ascii="Cambria" w:hAnsi="Cambria"/>
          <w:color w:val="000000"/>
          <w:sz w:val="22"/>
          <w:szCs w:val="22"/>
        </w:rPr>
      </w:pPr>
    </w:p>
    <w:p w14:paraId="141BF7E4" w14:textId="1C935BA0" w:rsidR="00AE126F" w:rsidRDefault="0003422B" w:rsidP="00702C1E">
      <w:pPr>
        <w:pStyle w:val="NormalWeb"/>
        <w:spacing w:before="0" w:beforeAutospacing="0" w:after="0" w:afterAutospacing="0" w:line="276" w:lineRule="auto"/>
        <w:ind w:left="-450"/>
        <w:rPr>
          <w:rFonts w:ascii="Cambria" w:hAnsi="Cambria"/>
          <w:color w:val="000000"/>
          <w:sz w:val="22"/>
          <w:szCs w:val="22"/>
        </w:rPr>
      </w:pPr>
      <w:r w:rsidRPr="00682652">
        <w:rPr>
          <w:rFonts w:ascii="Cambria" w:hAnsi="Cambria"/>
          <w:color w:val="000000"/>
          <w:sz w:val="22"/>
          <w:szCs w:val="22"/>
        </w:rPr>
        <w:t xml:space="preserve">The extent of this labeling gap is documented </w:t>
      </w:r>
      <w:r w:rsidR="004248D9" w:rsidRPr="00682652">
        <w:rPr>
          <w:rFonts w:ascii="Cambria" w:hAnsi="Cambria"/>
          <w:color w:val="000000"/>
          <w:sz w:val="22"/>
          <w:szCs w:val="22"/>
        </w:rPr>
        <w:t>by a 2023 study</w:t>
      </w:r>
      <w:r w:rsidR="00561BEB" w:rsidRPr="00682652">
        <w:rPr>
          <w:rStyle w:val="EndnoteReference"/>
          <w:rFonts w:ascii="Cambria" w:hAnsi="Cambria"/>
          <w:color w:val="000000"/>
          <w:sz w:val="22"/>
          <w:szCs w:val="22"/>
        </w:rPr>
        <w:endnoteReference w:id="16"/>
      </w:r>
      <w:r w:rsidR="004248D9" w:rsidRPr="00682652">
        <w:rPr>
          <w:rFonts w:ascii="Cambria" w:hAnsi="Cambria"/>
          <w:color w:val="000000"/>
          <w:sz w:val="22"/>
          <w:szCs w:val="22"/>
        </w:rPr>
        <w:t xml:space="preserve"> in which researchers at the Center for Science in the Public Interest </w:t>
      </w:r>
      <w:r w:rsidR="00303DD6" w:rsidRPr="00682652">
        <w:rPr>
          <w:rFonts w:ascii="Cambria" w:hAnsi="Cambria"/>
          <w:color w:val="000000"/>
          <w:sz w:val="22"/>
          <w:szCs w:val="22"/>
        </w:rPr>
        <w:t xml:space="preserve">(CSPI) </w:t>
      </w:r>
      <w:r w:rsidR="00286358" w:rsidRPr="00682652">
        <w:rPr>
          <w:rFonts w:ascii="Cambria" w:hAnsi="Cambria"/>
          <w:color w:val="000000"/>
          <w:sz w:val="22"/>
          <w:szCs w:val="22"/>
        </w:rPr>
        <w:t xml:space="preserve">used TTB’s </w:t>
      </w:r>
      <w:r w:rsidR="00286358" w:rsidRPr="00682652">
        <w:rPr>
          <w:rFonts w:ascii="Cambria" w:eastAsiaTheme="majorEastAsia" w:hAnsi="Cambria"/>
          <w:color w:val="000000" w:themeColor="text1"/>
          <w:sz w:val="22"/>
          <w:szCs w:val="22"/>
        </w:rPr>
        <w:t xml:space="preserve">COLA database to examine the labels </w:t>
      </w:r>
      <w:r w:rsidR="00B042DD" w:rsidRPr="00682652">
        <w:rPr>
          <w:rFonts w:ascii="Cambria" w:eastAsiaTheme="majorEastAsia" w:hAnsi="Cambria"/>
          <w:color w:val="000000" w:themeColor="text1"/>
          <w:sz w:val="22"/>
          <w:szCs w:val="22"/>
        </w:rPr>
        <w:t>of</w:t>
      </w:r>
      <w:r w:rsidR="006C2BB3" w:rsidRPr="00682652">
        <w:rPr>
          <w:rFonts w:ascii="Cambria" w:eastAsiaTheme="majorEastAsia" w:hAnsi="Cambria"/>
          <w:color w:val="000000" w:themeColor="text1"/>
          <w:sz w:val="22"/>
          <w:szCs w:val="22"/>
        </w:rPr>
        <w:t xml:space="preserve"> 132 </w:t>
      </w:r>
      <w:r w:rsidR="00286358" w:rsidRPr="00682652">
        <w:rPr>
          <w:rFonts w:ascii="Cambria" w:hAnsi="Cambria"/>
          <w:color w:val="000000"/>
          <w:sz w:val="22"/>
          <w:szCs w:val="22"/>
        </w:rPr>
        <w:t xml:space="preserve">of the top </w:t>
      </w:r>
      <w:r w:rsidR="004248D9" w:rsidRPr="00682652">
        <w:rPr>
          <w:rFonts w:ascii="Cambria" w:hAnsi="Cambria"/>
          <w:color w:val="000000"/>
          <w:sz w:val="22"/>
          <w:szCs w:val="22"/>
        </w:rPr>
        <w:t xml:space="preserve">beer </w:t>
      </w:r>
      <w:r w:rsidR="00286358" w:rsidRPr="00682652">
        <w:rPr>
          <w:rFonts w:ascii="Cambria" w:hAnsi="Cambria"/>
          <w:color w:val="000000"/>
          <w:sz w:val="22"/>
          <w:szCs w:val="22"/>
        </w:rPr>
        <w:t xml:space="preserve">and wine brands </w:t>
      </w:r>
      <w:r w:rsidR="00286358" w:rsidRPr="00682652">
        <w:rPr>
          <w:rFonts w:ascii="Cambria" w:hAnsi="Cambria"/>
          <w:color w:val="000000" w:themeColor="text1"/>
          <w:sz w:val="22"/>
          <w:szCs w:val="22"/>
        </w:rPr>
        <w:t>by sales volume in 2020</w:t>
      </w:r>
      <w:r w:rsidR="00973D4B" w:rsidRPr="00682652">
        <w:rPr>
          <w:rFonts w:ascii="Cambria" w:hAnsi="Cambria"/>
          <w:color w:val="000000" w:themeColor="text1"/>
          <w:sz w:val="22"/>
          <w:szCs w:val="22"/>
        </w:rPr>
        <w:t xml:space="preserve">. </w:t>
      </w:r>
      <w:r w:rsidR="006C2BB3" w:rsidRPr="00682652">
        <w:rPr>
          <w:rFonts w:ascii="Cambria" w:hAnsi="Cambria"/>
          <w:color w:val="000000" w:themeColor="text1"/>
          <w:sz w:val="22"/>
          <w:szCs w:val="22"/>
        </w:rPr>
        <w:t>T</w:t>
      </w:r>
      <w:r w:rsidR="00973D4B" w:rsidRPr="00682652">
        <w:rPr>
          <w:rFonts w:ascii="Cambria" w:hAnsi="Cambria"/>
          <w:color w:val="000000" w:themeColor="text1"/>
          <w:sz w:val="22"/>
          <w:szCs w:val="22"/>
        </w:rPr>
        <w:t xml:space="preserve">he study </w:t>
      </w:r>
      <w:r w:rsidR="006C2BB3" w:rsidRPr="00682652">
        <w:rPr>
          <w:rFonts w:ascii="Cambria" w:hAnsi="Cambria"/>
          <w:color w:val="000000" w:themeColor="text1"/>
          <w:sz w:val="22"/>
          <w:szCs w:val="22"/>
        </w:rPr>
        <w:t xml:space="preserve">found </w:t>
      </w:r>
      <w:r w:rsidR="00973D4B" w:rsidRPr="00682652">
        <w:rPr>
          <w:rFonts w:ascii="Cambria" w:hAnsi="Cambria"/>
          <w:color w:val="000000" w:themeColor="text1"/>
          <w:sz w:val="22"/>
          <w:szCs w:val="22"/>
        </w:rPr>
        <w:t xml:space="preserve">that only 11 of the 65 beer brands examined (17%) and none of the 67 wine brands included ingredients lists </w:t>
      </w:r>
      <w:r w:rsidR="004F180F" w:rsidRPr="00682652">
        <w:rPr>
          <w:rFonts w:ascii="Cambria" w:hAnsi="Cambria"/>
          <w:color w:val="000000" w:themeColor="text1"/>
          <w:sz w:val="22"/>
          <w:szCs w:val="22"/>
        </w:rPr>
        <w:t xml:space="preserve">on their labels, </w:t>
      </w:r>
      <w:r w:rsidR="00973D4B" w:rsidRPr="00682652">
        <w:rPr>
          <w:rFonts w:ascii="Cambria" w:hAnsi="Cambria"/>
          <w:color w:val="000000" w:themeColor="text1"/>
          <w:sz w:val="22"/>
          <w:szCs w:val="22"/>
        </w:rPr>
        <w:t xml:space="preserve">while 18 beers (28%) and no wines </w:t>
      </w:r>
      <w:r w:rsidRPr="00682652">
        <w:rPr>
          <w:rFonts w:ascii="Cambria" w:hAnsi="Cambria"/>
          <w:color w:val="000000" w:themeColor="text1"/>
          <w:sz w:val="22"/>
          <w:szCs w:val="22"/>
        </w:rPr>
        <w:t xml:space="preserve">used </w:t>
      </w:r>
      <w:r w:rsidR="00973D4B" w:rsidRPr="00682652">
        <w:rPr>
          <w:rFonts w:ascii="Cambria" w:eastAsiaTheme="majorEastAsia" w:hAnsi="Cambria"/>
          <w:color w:val="000000" w:themeColor="text1"/>
          <w:sz w:val="22"/>
          <w:szCs w:val="22"/>
        </w:rPr>
        <w:t xml:space="preserve">the voluntary “Serving Facts” </w:t>
      </w:r>
      <w:r w:rsidRPr="00682652">
        <w:rPr>
          <w:rFonts w:ascii="Cambria" w:eastAsiaTheme="majorEastAsia" w:hAnsi="Cambria"/>
          <w:color w:val="000000" w:themeColor="text1"/>
          <w:sz w:val="22"/>
          <w:szCs w:val="22"/>
        </w:rPr>
        <w:t xml:space="preserve">label, </w:t>
      </w:r>
      <w:r w:rsidR="00973D4B" w:rsidRPr="00682652">
        <w:rPr>
          <w:rFonts w:ascii="Cambria" w:eastAsiaTheme="majorEastAsia" w:hAnsi="Cambria"/>
          <w:color w:val="000000" w:themeColor="text1"/>
          <w:sz w:val="22"/>
          <w:szCs w:val="22"/>
        </w:rPr>
        <w:t xml:space="preserve">and one additional beer </w:t>
      </w:r>
      <w:r w:rsidRPr="00682652">
        <w:rPr>
          <w:rFonts w:ascii="Cambria" w:eastAsiaTheme="majorEastAsia" w:hAnsi="Cambria"/>
          <w:color w:val="000000" w:themeColor="text1"/>
          <w:sz w:val="22"/>
          <w:szCs w:val="22"/>
        </w:rPr>
        <w:t>brand carried t</w:t>
      </w:r>
      <w:r w:rsidR="00973D4B" w:rsidRPr="00682652">
        <w:rPr>
          <w:rFonts w:ascii="Cambria" w:eastAsiaTheme="majorEastAsia" w:hAnsi="Cambria"/>
          <w:color w:val="000000" w:themeColor="text1"/>
          <w:sz w:val="22"/>
          <w:szCs w:val="22"/>
        </w:rPr>
        <w:t>he voluntary “Alcohol Facts” label.</w:t>
      </w:r>
      <w:r w:rsidRPr="00682652">
        <w:rPr>
          <w:rFonts w:ascii="Cambria" w:eastAsiaTheme="majorEastAsia" w:hAnsi="Cambria"/>
          <w:color w:val="000000" w:themeColor="text1"/>
          <w:sz w:val="22"/>
          <w:szCs w:val="22"/>
        </w:rPr>
        <w:t xml:space="preserve"> CSPI’s </w:t>
      </w:r>
      <w:r w:rsidR="00303DD6" w:rsidRPr="00682652">
        <w:rPr>
          <w:rFonts w:ascii="Cambria" w:eastAsiaTheme="majorEastAsia" w:hAnsi="Cambria"/>
          <w:color w:val="000000" w:themeColor="text1"/>
          <w:sz w:val="22"/>
          <w:szCs w:val="22"/>
        </w:rPr>
        <w:t xml:space="preserve">study </w:t>
      </w:r>
      <w:r w:rsidRPr="00682652">
        <w:rPr>
          <w:rFonts w:ascii="Cambria" w:eastAsiaTheme="majorEastAsia" w:hAnsi="Cambria"/>
          <w:color w:val="000000" w:themeColor="text1"/>
          <w:sz w:val="22"/>
          <w:szCs w:val="22"/>
        </w:rPr>
        <w:t xml:space="preserve">also </w:t>
      </w:r>
      <w:r w:rsidR="006100B4" w:rsidRPr="00682652">
        <w:rPr>
          <w:rFonts w:ascii="Cambria" w:eastAsiaTheme="majorEastAsia" w:hAnsi="Cambria"/>
          <w:color w:val="000000" w:themeColor="text1"/>
          <w:sz w:val="22"/>
          <w:szCs w:val="22"/>
        </w:rPr>
        <w:t xml:space="preserve">revealed </w:t>
      </w:r>
      <w:r w:rsidRPr="00682652">
        <w:rPr>
          <w:rFonts w:ascii="Cambria" w:eastAsiaTheme="majorEastAsia" w:hAnsi="Cambria"/>
          <w:color w:val="000000" w:themeColor="text1"/>
          <w:sz w:val="22"/>
          <w:szCs w:val="22"/>
        </w:rPr>
        <w:t xml:space="preserve">that even when serving information is included on beer and wine labels, </w:t>
      </w:r>
      <w:r w:rsidR="00532397" w:rsidRPr="00682652">
        <w:rPr>
          <w:rFonts w:ascii="Cambria" w:eastAsiaTheme="majorEastAsia" w:hAnsi="Cambria"/>
          <w:color w:val="000000" w:themeColor="text1"/>
          <w:sz w:val="22"/>
          <w:szCs w:val="22"/>
        </w:rPr>
        <w:t xml:space="preserve">it </w:t>
      </w:r>
      <w:r w:rsidRPr="00682652">
        <w:rPr>
          <w:rFonts w:ascii="Cambria" w:eastAsiaTheme="majorEastAsia" w:hAnsi="Cambria"/>
          <w:color w:val="000000" w:themeColor="text1"/>
          <w:sz w:val="22"/>
          <w:szCs w:val="22"/>
        </w:rPr>
        <w:t xml:space="preserve">is often crowded next to other text, provided </w:t>
      </w:r>
      <w:bookmarkEnd w:id="2"/>
      <w:r w:rsidRPr="00682652">
        <w:rPr>
          <w:rFonts w:ascii="Cambria" w:hAnsi="Cambria"/>
          <w:color w:val="000000" w:themeColor="text1"/>
          <w:sz w:val="22"/>
          <w:szCs w:val="22"/>
        </w:rPr>
        <w:t>i</w:t>
      </w:r>
      <w:r w:rsidR="00E94E99" w:rsidRPr="00682652">
        <w:rPr>
          <w:rFonts w:ascii="Cambria" w:eastAsiaTheme="majorEastAsia" w:hAnsi="Cambria"/>
          <w:color w:val="000000" w:themeColor="text1"/>
          <w:sz w:val="22"/>
          <w:szCs w:val="22"/>
        </w:rPr>
        <w:t>n a continuous line rather than with line breaks for each separate</w:t>
      </w:r>
      <w:r w:rsidR="00F57769" w:rsidRPr="00682652">
        <w:rPr>
          <w:rFonts w:ascii="Cambria" w:eastAsiaTheme="majorEastAsia" w:hAnsi="Cambria"/>
          <w:color w:val="000000" w:themeColor="text1"/>
          <w:sz w:val="22"/>
          <w:szCs w:val="22"/>
        </w:rPr>
        <w:t xml:space="preserve"> </w:t>
      </w:r>
      <w:r w:rsidR="00E94E99" w:rsidRPr="00682652">
        <w:rPr>
          <w:rFonts w:ascii="Cambria" w:eastAsiaTheme="majorEastAsia" w:hAnsi="Cambria"/>
          <w:color w:val="000000" w:themeColor="text1"/>
          <w:sz w:val="22"/>
          <w:szCs w:val="22"/>
        </w:rPr>
        <w:t xml:space="preserve">piece of information (like the Nutrition Facts label), written in all caps, </w:t>
      </w:r>
      <w:r w:rsidRPr="00682652">
        <w:rPr>
          <w:rFonts w:ascii="Cambria" w:eastAsiaTheme="majorEastAsia" w:hAnsi="Cambria"/>
          <w:color w:val="000000" w:themeColor="text1"/>
          <w:sz w:val="22"/>
          <w:szCs w:val="22"/>
        </w:rPr>
        <w:t>or</w:t>
      </w:r>
      <w:r w:rsidR="002971BB" w:rsidRPr="00682652">
        <w:rPr>
          <w:rFonts w:ascii="Cambria" w:eastAsiaTheme="majorEastAsia" w:hAnsi="Cambria"/>
          <w:color w:val="000000" w:themeColor="text1"/>
          <w:sz w:val="22"/>
          <w:szCs w:val="22"/>
        </w:rPr>
        <w:t xml:space="preserve"> </w:t>
      </w:r>
      <w:r w:rsidR="00E94E99" w:rsidRPr="00682652">
        <w:rPr>
          <w:rFonts w:ascii="Cambria" w:eastAsiaTheme="majorEastAsia" w:hAnsi="Cambria"/>
          <w:color w:val="000000" w:themeColor="text1"/>
          <w:sz w:val="22"/>
          <w:szCs w:val="22"/>
        </w:rPr>
        <w:t xml:space="preserve">written vertically </w:t>
      </w:r>
      <w:r w:rsidR="005911EE" w:rsidRPr="00682652">
        <w:rPr>
          <w:rFonts w:ascii="Cambria" w:eastAsiaTheme="majorEastAsia" w:hAnsi="Cambria"/>
          <w:color w:val="000000" w:themeColor="text1"/>
          <w:sz w:val="22"/>
          <w:szCs w:val="22"/>
        </w:rPr>
        <w:t>when much of the text on the label was</w:t>
      </w:r>
      <w:r w:rsidR="00E94E99" w:rsidRPr="00682652">
        <w:rPr>
          <w:rFonts w:ascii="Cambria" w:eastAsiaTheme="majorEastAsia" w:hAnsi="Cambria"/>
          <w:color w:val="000000" w:themeColor="text1"/>
          <w:sz w:val="22"/>
          <w:szCs w:val="22"/>
        </w:rPr>
        <w:t xml:space="preserve"> horizontal</w:t>
      </w:r>
      <w:r w:rsidR="002971BB" w:rsidRPr="00682652">
        <w:rPr>
          <w:rFonts w:ascii="Cambria" w:eastAsiaTheme="majorEastAsia" w:hAnsi="Cambria"/>
          <w:color w:val="000000" w:themeColor="text1"/>
          <w:sz w:val="22"/>
          <w:szCs w:val="22"/>
        </w:rPr>
        <w:t>.</w:t>
      </w:r>
      <w:r w:rsidR="00F57769" w:rsidRPr="00682652" w:rsidDel="00F57769">
        <w:rPr>
          <w:rFonts w:ascii="Cambria" w:eastAsiaTheme="majorEastAsia" w:hAnsi="Cambria"/>
          <w:color w:val="000000" w:themeColor="text1"/>
          <w:sz w:val="22"/>
          <w:szCs w:val="22"/>
        </w:rPr>
        <w:t xml:space="preserve"> </w:t>
      </w:r>
      <w:r w:rsidR="00500F06" w:rsidRPr="00682652">
        <w:rPr>
          <w:rFonts w:ascii="Cambria" w:eastAsiaTheme="majorEastAsia" w:hAnsi="Cambria"/>
          <w:color w:val="000000" w:themeColor="text1"/>
          <w:sz w:val="22"/>
          <w:szCs w:val="22"/>
        </w:rPr>
        <w:t xml:space="preserve">This poor noticeability and readability make it </w:t>
      </w:r>
      <w:r w:rsidR="00500F06" w:rsidRPr="00682652">
        <w:rPr>
          <w:rFonts w:ascii="Cambria" w:hAnsi="Cambria"/>
          <w:color w:val="000000"/>
          <w:sz w:val="22"/>
          <w:szCs w:val="22"/>
        </w:rPr>
        <w:t xml:space="preserve">hard for consumers to find information and compare different </w:t>
      </w:r>
      <w:r w:rsidR="00AB03EA" w:rsidRPr="00682652">
        <w:rPr>
          <w:rFonts w:ascii="Cambria" w:hAnsi="Cambria"/>
          <w:color w:val="000000"/>
          <w:sz w:val="22"/>
          <w:szCs w:val="22"/>
        </w:rPr>
        <w:t>products</w:t>
      </w:r>
      <w:r w:rsidR="00500F06" w:rsidRPr="00682652">
        <w:rPr>
          <w:rFonts w:ascii="Cambria" w:hAnsi="Cambria"/>
          <w:color w:val="000000"/>
          <w:sz w:val="22"/>
          <w:szCs w:val="22"/>
        </w:rPr>
        <w:t>.</w:t>
      </w:r>
    </w:p>
    <w:p w14:paraId="3E518BA8" w14:textId="77777777" w:rsidR="00682652" w:rsidRDefault="00682652" w:rsidP="00702C1E">
      <w:pPr>
        <w:pStyle w:val="NormalWeb"/>
        <w:spacing w:before="0" w:beforeAutospacing="0" w:after="0" w:afterAutospacing="0" w:line="276" w:lineRule="auto"/>
        <w:ind w:left="-450"/>
        <w:rPr>
          <w:rFonts w:ascii="Cambria" w:hAnsi="Cambria"/>
          <w:color w:val="000000"/>
          <w:sz w:val="22"/>
          <w:szCs w:val="22"/>
        </w:rPr>
      </w:pPr>
    </w:p>
    <w:p w14:paraId="75AD4CEE" w14:textId="77777777" w:rsidR="00682652" w:rsidRPr="00682652" w:rsidRDefault="00682652" w:rsidP="00702C1E">
      <w:pPr>
        <w:pStyle w:val="NormalWeb"/>
        <w:spacing w:before="0" w:beforeAutospacing="0" w:after="0" w:afterAutospacing="0" w:line="276" w:lineRule="auto"/>
        <w:ind w:left="-450"/>
        <w:rPr>
          <w:rFonts w:ascii="Cambria" w:hAnsi="Cambria"/>
          <w:color w:val="000000"/>
          <w:sz w:val="22"/>
          <w:szCs w:val="22"/>
        </w:rPr>
      </w:pPr>
    </w:p>
    <w:p w14:paraId="2055AC00" w14:textId="77777777" w:rsidR="00500F06" w:rsidRPr="00682652" w:rsidRDefault="00500F06" w:rsidP="003607A8">
      <w:pPr>
        <w:pStyle w:val="NormalWeb"/>
        <w:spacing w:before="0" w:beforeAutospacing="0" w:after="0" w:afterAutospacing="0" w:line="276" w:lineRule="auto"/>
        <w:rPr>
          <w:rFonts w:ascii="Cambria" w:hAnsi="Cambria"/>
          <w:color w:val="000000"/>
          <w:sz w:val="22"/>
          <w:szCs w:val="22"/>
        </w:rPr>
      </w:pPr>
    </w:p>
    <w:p w14:paraId="0470201D" w14:textId="39ED221D" w:rsidR="00702C1E" w:rsidRPr="00682652" w:rsidRDefault="00500F06" w:rsidP="00702C1E">
      <w:pPr>
        <w:spacing w:after="0" w:line="276" w:lineRule="auto"/>
        <w:ind w:left="-450"/>
        <w:rPr>
          <w:rFonts w:ascii="Cambria" w:hAnsi="Cambria" w:cs="Times New Roman"/>
          <w:sz w:val="22"/>
          <w:szCs w:val="22"/>
        </w:rPr>
      </w:pPr>
      <w:r w:rsidRPr="00682652">
        <w:rPr>
          <w:rFonts w:ascii="Cambria" w:hAnsi="Cambria"/>
          <w:color w:val="000000"/>
          <w:sz w:val="22"/>
          <w:szCs w:val="22"/>
        </w:rPr>
        <w:t xml:space="preserve">TTB’s agreement to </w:t>
      </w:r>
      <w:bookmarkStart w:id="3" w:name="_Hlk159517782"/>
      <w:r w:rsidRPr="00682652">
        <w:rPr>
          <w:rFonts w:ascii="Cambria" w:hAnsi="Cambria"/>
          <w:color w:val="000000"/>
          <w:sz w:val="22"/>
          <w:szCs w:val="22"/>
        </w:rPr>
        <w:t xml:space="preserve">end this ineffective </w:t>
      </w:r>
      <w:r w:rsidRPr="00682652">
        <w:rPr>
          <w:rFonts w:ascii="Cambria" w:hAnsi="Cambria" w:cs="Times New Roman"/>
          <w:sz w:val="22"/>
          <w:szCs w:val="22"/>
        </w:rPr>
        <w:t>voluntary regime</w:t>
      </w:r>
      <w:r w:rsidRPr="00682652">
        <w:rPr>
          <w:rFonts w:ascii="Cambria" w:hAnsi="Cambria"/>
          <w:sz w:val="22"/>
          <w:szCs w:val="22"/>
        </w:rPr>
        <w:t xml:space="preserve"> </w:t>
      </w:r>
      <w:r w:rsidR="004E07B2" w:rsidRPr="00682652">
        <w:rPr>
          <w:rFonts w:ascii="Cambria" w:hAnsi="Cambria"/>
          <w:sz w:val="22"/>
          <w:szCs w:val="22"/>
        </w:rPr>
        <w:t>by issuing</w:t>
      </w:r>
      <w:r w:rsidR="00475F08" w:rsidRPr="00682652">
        <w:rPr>
          <w:rFonts w:ascii="Cambria" w:hAnsi="Cambria" w:cs="Times New Roman"/>
          <w:sz w:val="22"/>
          <w:szCs w:val="22"/>
        </w:rPr>
        <w:t xml:space="preserve"> rules requiring standardized alcohol content, calorie, and allergen labeling </w:t>
      </w:r>
      <w:bookmarkEnd w:id="3"/>
      <w:r w:rsidR="00AA5AA8" w:rsidRPr="00682652">
        <w:rPr>
          <w:rFonts w:ascii="Cambria" w:hAnsi="Cambria" w:cs="Times New Roman"/>
          <w:sz w:val="22"/>
          <w:szCs w:val="22"/>
        </w:rPr>
        <w:t>represented</w:t>
      </w:r>
      <w:r w:rsidR="00475F08" w:rsidRPr="00682652">
        <w:rPr>
          <w:rFonts w:ascii="Cambria" w:hAnsi="Cambria" w:cs="Times New Roman"/>
          <w:sz w:val="22"/>
          <w:szCs w:val="22"/>
        </w:rPr>
        <w:t xml:space="preserve"> the high-water </w:t>
      </w:r>
      <w:r w:rsidR="006F321B" w:rsidRPr="00682652">
        <w:rPr>
          <w:rFonts w:ascii="Cambria" w:hAnsi="Cambria" w:cs="Times New Roman"/>
          <w:sz w:val="22"/>
          <w:szCs w:val="22"/>
        </w:rPr>
        <w:t xml:space="preserve">mark for American consumers. </w:t>
      </w:r>
      <w:r w:rsidR="00475F08" w:rsidRPr="00682652">
        <w:rPr>
          <w:rFonts w:ascii="Cambria" w:hAnsi="Cambria" w:cs="Times New Roman"/>
          <w:sz w:val="22"/>
          <w:szCs w:val="22"/>
        </w:rPr>
        <w:t xml:space="preserve">Yet, the </w:t>
      </w:r>
      <w:r w:rsidR="00AA5AA8" w:rsidRPr="00682652">
        <w:rPr>
          <w:rFonts w:ascii="Cambria" w:hAnsi="Cambria" w:cs="Times New Roman"/>
          <w:sz w:val="22"/>
          <w:szCs w:val="22"/>
        </w:rPr>
        <w:t xml:space="preserve">agency’s </w:t>
      </w:r>
      <w:r w:rsidR="00475F08" w:rsidRPr="00682652">
        <w:rPr>
          <w:rStyle w:val="cf01"/>
          <w:rFonts w:ascii="Cambria" w:hAnsi="Cambria"/>
          <w:sz w:val="22"/>
          <w:szCs w:val="22"/>
        </w:rPr>
        <w:t xml:space="preserve">decision to </w:t>
      </w:r>
      <w:r w:rsidR="00550023" w:rsidRPr="00682652">
        <w:rPr>
          <w:rStyle w:val="cf01"/>
          <w:rFonts w:ascii="Cambria" w:hAnsi="Cambria"/>
          <w:sz w:val="22"/>
          <w:szCs w:val="22"/>
        </w:rPr>
        <w:t>delay</w:t>
      </w:r>
      <w:r w:rsidR="00475F08" w:rsidRPr="00682652">
        <w:rPr>
          <w:rStyle w:val="cf01"/>
          <w:rFonts w:ascii="Cambria" w:hAnsi="Cambria"/>
          <w:sz w:val="22"/>
          <w:szCs w:val="22"/>
        </w:rPr>
        <w:t xml:space="preserve"> the process </w:t>
      </w:r>
      <w:r w:rsidR="00AA5AA8" w:rsidRPr="00682652">
        <w:rPr>
          <w:rStyle w:val="cf01"/>
          <w:rFonts w:ascii="Cambria" w:hAnsi="Cambria"/>
          <w:sz w:val="22"/>
          <w:szCs w:val="22"/>
        </w:rPr>
        <w:t xml:space="preserve">and hold </w:t>
      </w:r>
      <w:r w:rsidR="00475F08" w:rsidRPr="00682652">
        <w:rPr>
          <w:rStyle w:val="cf01"/>
          <w:rFonts w:ascii="Cambria" w:hAnsi="Cambria"/>
          <w:sz w:val="22"/>
          <w:szCs w:val="22"/>
        </w:rPr>
        <w:t>public listening session</w:t>
      </w:r>
      <w:r w:rsidR="00C41F26" w:rsidRPr="00682652">
        <w:rPr>
          <w:rStyle w:val="cf01"/>
          <w:rFonts w:ascii="Cambria" w:hAnsi="Cambria"/>
          <w:sz w:val="22"/>
          <w:szCs w:val="22"/>
        </w:rPr>
        <w:t>s</w:t>
      </w:r>
      <w:r w:rsidR="00963AD9" w:rsidRPr="00682652">
        <w:rPr>
          <w:rStyle w:val="cf01"/>
          <w:rFonts w:ascii="Cambria" w:hAnsi="Cambria"/>
          <w:sz w:val="22"/>
          <w:szCs w:val="22"/>
        </w:rPr>
        <w:t>, while providing</w:t>
      </w:r>
      <w:r w:rsidR="00C41F26" w:rsidRPr="00682652">
        <w:rPr>
          <w:rStyle w:val="cf01"/>
          <w:rFonts w:ascii="Cambria" w:hAnsi="Cambria"/>
          <w:sz w:val="22"/>
          <w:szCs w:val="22"/>
        </w:rPr>
        <w:t xml:space="preserve"> no </w:t>
      </w:r>
      <w:r w:rsidR="00963AD9" w:rsidRPr="00682652">
        <w:rPr>
          <w:rStyle w:val="cf01"/>
          <w:rFonts w:ascii="Cambria" w:hAnsi="Cambria"/>
          <w:sz w:val="22"/>
          <w:szCs w:val="22"/>
        </w:rPr>
        <w:t xml:space="preserve">new </w:t>
      </w:r>
      <w:r w:rsidR="00C41F26" w:rsidRPr="00682652">
        <w:rPr>
          <w:rStyle w:val="cf01"/>
          <w:rFonts w:ascii="Cambria" w:hAnsi="Cambria"/>
          <w:sz w:val="22"/>
          <w:szCs w:val="22"/>
        </w:rPr>
        <w:t xml:space="preserve">timeline for </w:t>
      </w:r>
      <w:r w:rsidR="00963AD9" w:rsidRPr="00682652">
        <w:rPr>
          <w:rStyle w:val="cf01"/>
          <w:rFonts w:ascii="Cambria" w:hAnsi="Cambria"/>
          <w:sz w:val="22"/>
          <w:szCs w:val="22"/>
        </w:rPr>
        <w:t xml:space="preserve">the </w:t>
      </w:r>
      <w:r w:rsidR="00C41F26" w:rsidRPr="00682652">
        <w:rPr>
          <w:rStyle w:val="cf01"/>
          <w:rFonts w:ascii="Cambria" w:hAnsi="Cambria"/>
          <w:sz w:val="22"/>
          <w:szCs w:val="22"/>
        </w:rPr>
        <w:t>rulemaking</w:t>
      </w:r>
      <w:r w:rsidR="00963AD9" w:rsidRPr="00682652">
        <w:rPr>
          <w:rStyle w:val="cf01"/>
          <w:rFonts w:ascii="Cambria" w:hAnsi="Cambria"/>
          <w:sz w:val="22"/>
          <w:szCs w:val="22"/>
        </w:rPr>
        <w:t>s,</w:t>
      </w:r>
      <w:r w:rsidR="00C41F26" w:rsidRPr="00682652">
        <w:rPr>
          <w:rStyle w:val="cf01"/>
          <w:rFonts w:ascii="Cambria" w:hAnsi="Cambria"/>
          <w:sz w:val="22"/>
          <w:szCs w:val="22"/>
        </w:rPr>
        <w:t xml:space="preserve"> </w:t>
      </w:r>
      <w:r w:rsidR="00AA5AA8" w:rsidRPr="00682652">
        <w:rPr>
          <w:rStyle w:val="cf01"/>
          <w:rFonts w:ascii="Cambria" w:hAnsi="Cambria"/>
          <w:sz w:val="22"/>
          <w:szCs w:val="22"/>
        </w:rPr>
        <w:t xml:space="preserve">shows that TTB </w:t>
      </w:r>
      <w:r w:rsidR="00C41F26" w:rsidRPr="00682652">
        <w:rPr>
          <w:rStyle w:val="cf01"/>
          <w:rFonts w:ascii="Cambria" w:hAnsi="Cambria"/>
          <w:sz w:val="22"/>
          <w:szCs w:val="22"/>
        </w:rPr>
        <w:t xml:space="preserve">abides by </w:t>
      </w:r>
      <w:r w:rsidR="00CC31CB" w:rsidRPr="00682652">
        <w:rPr>
          <w:rStyle w:val="cf01"/>
          <w:rFonts w:ascii="Cambria" w:hAnsi="Cambria"/>
          <w:sz w:val="22"/>
          <w:szCs w:val="22"/>
        </w:rPr>
        <w:t>an unwavering commitment to the status quo</w:t>
      </w:r>
      <w:r w:rsidR="00533D45" w:rsidRPr="00682652">
        <w:rPr>
          <w:rStyle w:val="cf01"/>
          <w:rFonts w:ascii="Cambria" w:hAnsi="Cambria"/>
          <w:sz w:val="22"/>
          <w:szCs w:val="22"/>
        </w:rPr>
        <w:t>. We fear the agency may plan to</w:t>
      </w:r>
      <w:r w:rsidR="00CC31CB" w:rsidRPr="00682652">
        <w:rPr>
          <w:rStyle w:val="cf01"/>
          <w:rFonts w:ascii="Cambria" w:hAnsi="Cambria"/>
          <w:sz w:val="22"/>
          <w:szCs w:val="22"/>
        </w:rPr>
        <w:t xml:space="preserve"> slow</w:t>
      </w:r>
      <w:r w:rsidR="002467E8" w:rsidRPr="00682652">
        <w:rPr>
          <w:rStyle w:val="cf01"/>
          <w:rFonts w:ascii="Cambria" w:hAnsi="Cambria"/>
          <w:sz w:val="22"/>
          <w:szCs w:val="22"/>
        </w:rPr>
        <w:t>-</w:t>
      </w:r>
      <w:r w:rsidR="00CC31CB" w:rsidRPr="00682652">
        <w:rPr>
          <w:rStyle w:val="cf01"/>
          <w:rFonts w:ascii="Cambria" w:hAnsi="Cambria"/>
          <w:sz w:val="22"/>
          <w:szCs w:val="22"/>
        </w:rPr>
        <w:t xml:space="preserve">walk deliberations for months </w:t>
      </w:r>
      <w:r w:rsidR="002467E8" w:rsidRPr="00682652">
        <w:rPr>
          <w:rStyle w:val="cf01"/>
          <w:rFonts w:ascii="Cambria" w:hAnsi="Cambria"/>
          <w:sz w:val="22"/>
          <w:szCs w:val="22"/>
        </w:rPr>
        <w:t>and</w:t>
      </w:r>
      <w:r w:rsidR="00CC31CB" w:rsidRPr="00682652">
        <w:rPr>
          <w:rStyle w:val="cf01"/>
          <w:rFonts w:ascii="Cambria" w:hAnsi="Cambria"/>
          <w:sz w:val="22"/>
          <w:szCs w:val="22"/>
        </w:rPr>
        <w:t xml:space="preserve"> keep consumers from </w:t>
      </w:r>
      <w:r w:rsidR="00CE3037" w:rsidRPr="00682652">
        <w:rPr>
          <w:rStyle w:val="cf01"/>
          <w:rFonts w:ascii="Cambria" w:hAnsi="Cambria"/>
          <w:sz w:val="22"/>
          <w:szCs w:val="22"/>
        </w:rPr>
        <w:t>the</w:t>
      </w:r>
      <w:r w:rsidR="00CC31CB" w:rsidRPr="00682652">
        <w:rPr>
          <w:rStyle w:val="cf01"/>
          <w:rFonts w:ascii="Cambria" w:hAnsi="Cambria"/>
          <w:sz w:val="22"/>
          <w:szCs w:val="22"/>
        </w:rPr>
        <w:t xml:space="preserve"> information </w:t>
      </w:r>
      <w:r w:rsidR="00CE3037" w:rsidRPr="00682652">
        <w:rPr>
          <w:rStyle w:val="cf01"/>
          <w:rFonts w:ascii="Cambria" w:hAnsi="Cambria"/>
          <w:sz w:val="22"/>
          <w:szCs w:val="22"/>
        </w:rPr>
        <w:t xml:space="preserve">they need </w:t>
      </w:r>
      <w:r w:rsidR="00CC31CB" w:rsidRPr="00682652">
        <w:rPr>
          <w:rStyle w:val="cf01"/>
          <w:rFonts w:ascii="Cambria" w:hAnsi="Cambria"/>
          <w:sz w:val="22"/>
          <w:szCs w:val="22"/>
        </w:rPr>
        <w:t>to make fully informed drinking decisions.</w:t>
      </w:r>
    </w:p>
    <w:p w14:paraId="1D33C428" w14:textId="77777777" w:rsidR="00C41F26" w:rsidRPr="00682652" w:rsidRDefault="00C41F26" w:rsidP="00702C1E">
      <w:pPr>
        <w:spacing w:after="0" w:line="276" w:lineRule="auto"/>
        <w:ind w:left="-450"/>
        <w:rPr>
          <w:rFonts w:ascii="Cambria" w:hAnsi="Cambria" w:cs="Times New Roman"/>
          <w:sz w:val="22"/>
          <w:szCs w:val="22"/>
        </w:rPr>
      </w:pPr>
    </w:p>
    <w:p w14:paraId="36FFF217" w14:textId="21F05C88" w:rsidR="00103420" w:rsidRPr="00682652" w:rsidRDefault="00C41F26" w:rsidP="00702C1E">
      <w:pPr>
        <w:spacing w:after="0" w:line="276" w:lineRule="auto"/>
        <w:ind w:left="-450"/>
        <w:rPr>
          <w:rFonts w:ascii="Cambria" w:hAnsi="Cambria" w:cs="Times New Roman"/>
          <w:sz w:val="22"/>
          <w:szCs w:val="22"/>
        </w:rPr>
      </w:pPr>
      <w:r w:rsidRPr="00682652">
        <w:rPr>
          <w:rFonts w:ascii="Cambria" w:hAnsi="Cambria" w:cs="Times New Roman"/>
          <w:sz w:val="22"/>
          <w:szCs w:val="22"/>
        </w:rPr>
        <w:t>Thus, w</w:t>
      </w:r>
      <w:r w:rsidR="005F62A9" w:rsidRPr="00682652">
        <w:rPr>
          <w:rFonts w:ascii="Cambria" w:hAnsi="Cambria" w:cs="Times New Roman"/>
          <w:sz w:val="22"/>
          <w:szCs w:val="22"/>
        </w:rPr>
        <w:t>e are writing to</w:t>
      </w:r>
      <w:r w:rsidR="0075012F" w:rsidRPr="00682652">
        <w:rPr>
          <w:rFonts w:ascii="Cambria" w:hAnsi="Cambria" w:cs="Times New Roman"/>
          <w:sz w:val="22"/>
          <w:szCs w:val="22"/>
        </w:rPr>
        <w:t xml:space="preserve"> </w:t>
      </w:r>
      <w:r w:rsidR="005F62A9" w:rsidRPr="00682652">
        <w:rPr>
          <w:rFonts w:ascii="Cambria" w:hAnsi="Cambria" w:cs="Times New Roman"/>
          <w:sz w:val="22"/>
          <w:szCs w:val="22"/>
        </w:rPr>
        <w:t xml:space="preserve">urge </w:t>
      </w:r>
      <w:r w:rsidR="0075012F" w:rsidRPr="00682652">
        <w:rPr>
          <w:rFonts w:ascii="Cambria" w:hAnsi="Cambria" w:cs="Times New Roman"/>
          <w:sz w:val="22"/>
          <w:szCs w:val="22"/>
        </w:rPr>
        <w:t xml:space="preserve">you </w:t>
      </w:r>
      <w:bookmarkStart w:id="4" w:name="_Hlk159517828"/>
      <w:r w:rsidR="0075012F" w:rsidRPr="00682652">
        <w:rPr>
          <w:rFonts w:ascii="Cambria" w:hAnsi="Cambria" w:cs="Times New Roman"/>
          <w:sz w:val="22"/>
          <w:szCs w:val="22"/>
        </w:rPr>
        <w:t xml:space="preserve">to </w:t>
      </w:r>
      <w:r w:rsidR="002E59BF" w:rsidRPr="00682652">
        <w:rPr>
          <w:rFonts w:ascii="Cambria" w:hAnsi="Cambria" w:cs="Times New Roman"/>
          <w:sz w:val="22"/>
          <w:szCs w:val="22"/>
        </w:rPr>
        <w:t xml:space="preserve">intercede personally to </w:t>
      </w:r>
      <w:r w:rsidR="0075012F" w:rsidRPr="00682652">
        <w:rPr>
          <w:rFonts w:ascii="Cambria" w:hAnsi="Cambria" w:cs="Times New Roman"/>
          <w:sz w:val="22"/>
          <w:szCs w:val="22"/>
        </w:rPr>
        <w:t xml:space="preserve">require </w:t>
      </w:r>
      <w:r w:rsidR="002E59BF" w:rsidRPr="00682652">
        <w:rPr>
          <w:rFonts w:ascii="Cambria" w:hAnsi="Cambria" w:cs="Times New Roman"/>
          <w:sz w:val="22"/>
          <w:szCs w:val="22"/>
        </w:rPr>
        <w:t>the agency</w:t>
      </w:r>
      <w:r w:rsidR="005911EE" w:rsidRPr="00682652">
        <w:rPr>
          <w:rFonts w:ascii="Cambria" w:hAnsi="Cambria" w:cs="Times New Roman"/>
          <w:sz w:val="22"/>
          <w:szCs w:val="22"/>
        </w:rPr>
        <w:t xml:space="preserve"> to commit</w:t>
      </w:r>
      <w:r w:rsidR="002E59BF" w:rsidRPr="00682652">
        <w:rPr>
          <w:rFonts w:ascii="Cambria" w:hAnsi="Cambria" w:cs="Times New Roman"/>
          <w:sz w:val="22"/>
          <w:szCs w:val="22"/>
        </w:rPr>
        <w:t xml:space="preserve"> – in writing</w:t>
      </w:r>
      <w:r w:rsidR="00432737" w:rsidRPr="00682652">
        <w:rPr>
          <w:rFonts w:ascii="Cambria" w:hAnsi="Cambria" w:cs="Times New Roman"/>
          <w:sz w:val="22"/>
          <w:szCs w:val="22"/>
        </w:rPr>
        <w:t xml:space="preserve"> – </w:t>
      </w:r>
      <w:r w:rsidR="002E59BF" w:rsidRPr="00682652">
        <w:rPr>
          <w:rFonts w:ascii="Cambria" w:hAnsi="Cambria" w:cs="Times New Roman"/>
          <w:sz w:val="22"/>
          <w:szCs w:val="22"/>
        </w:rPr>
        <w:t xml:space="preserve">to publish all three proposed rules </w:t>
      </w:r>
      <w:r w:rsidR="00CC31CB" w:rsidRPr="00682652">
        <w:rPr>
          <w:rFonts w:ascii="Cambria" w:hAnsi="Cambria" w:cs="Times New Roman"/>
          <w:sz w:val="22"/>
          <w:szCs w:val="22"/>
        </w:rPr>
        <w:t xml:space="preserve">by </w:t>
      </w:r>
      <w:r w:rsidR="001E6F7B" w:rsidRPr="00682652">
        <w:rPr>
          <w:rFonts w:ascii="Cambria" w:hAnsi="Cambria" w:cs="Times New Roman"/>
          <w:sz w:val="22"/>
          <w:szCs w:val="22"/>
        </w:rPr>
        <w:t>June</w:t>
      </w:r>
      <w:r w:rsidR="00CC31CB" w:rsidRPr="00682652">
        <w:rPr>
          <w:rFonts w:ascii="Cambria" w:hAnsi="Cambria" w:cs="Times New Roman"/>
          <w:sz w:val="22"/>
          <w:szCs w:val="22"/>
        </w:rPr>
        <w:t xml:space="preserve"> 2024</w:t>
      </w:r>
      <w:bookmarkEnd w:id="4"/>
      <w:r w:rsidR="00CC31CB" w:rsidRPr="00682652">
        <w:rPr>
          <w:rFonts w:ascii="Cambria" w:hAnsi="Cambria" w:cs="Times New Roman"/>
          <w:sz w:val="22"/>
          <w:szCs w:val="22"/>
        </w:rPr>
        <w:t>.</w:t>
      </w:r>
      <w:r w:rsidR="002E59BF" w:rsidRPr="00682652">
        <w:rPr>
          <w:rFonts w:ascii="Cambria" w:hAnsi="Cambria" w:cs="Times New Roman"/>
          <w:sz w:val="22"/>
          <w:szCs w:val="22"/>
        </w:rPr>
        <w:t xml:space="preserve"> </w:t>
      </w:r>
      <w:r w:rsidR="00DC35FA" w:rsidRPr="00682652">
        <w:rPr>
          <w:rFonts w:ascii="Cambria" w:hAnsi="Cambria" w:cs="Times New Roman"/>
          <w:sz w:val="22"/>
          <w:szCs w:val="22"/>
        </w:rPr>
        <w:t xml:space="preserve">This </w:t>
      </w:r>
      <w:r w:rsidR="000166FD" w:rsidRPr="00682652">
        <w:rPr>
          <w:rFonts w:ascii="Cambria" w:hAnsi="Cambria" w:cs="Times New Roman"/>
          <w:sz w:val="22"/>
          <w:szCs w:val="22"/>
        </w:rPr>
        <w:t xml:space="preserve">will help ensure that TTB </w:t>
      </w:r>
      <w:r w:rsidR="005911EE" w:rsidRPr="00682652">
        <w:rPr>
          <w:rFonts w:ascii="Cambria" w:hAnsi="Cambria" w:cs="Times New Roman"/>
          <w:sz w:val="22"/>
          <w:szCs w:val="22"/>
        </w:rPr>
        <w:t>keeps its commitment</w:t>
      </w:r>
      <w:r w:rsidR="000166FD" w:rsidRPr="00682652">
        <w:rPr>
          <w:rFonts w:ascii="Cambria" w:hAnsi="Cambria" w:cs="Times New Roman"/>
          <w:sz w:val="22"/>
          <w:szCs w:val="22"/>
        </w:rPr>
        <w:t xml:space="preserve"> to the nation’s consumers</w:t>
      </w:r>
      <w:r w:rsidR="00103420" w:rsidRPr="00682652">
        <w:rPr>
          <w:rFonts w:ascii="Cambria" w:hAnsi="Cambria" w:cs="Times New Roman"/>
          <w:sz w:val="22"/>
          <w:szCs w:val="22"/>
        </w:rPr>
        <w:t xml:space="preserve"> and bring</w:t>
      </w:r>
      <w:r w:rsidR="00BE7862" w:rsidRPr="00682652">
        <w:rPr>
          <w:rFonts w:ascii="Cambria" w:hAnsi="Cambria" w:cs="Times New Roman"/>
          <w:sz w:val="22"/>
          <w:szCs w:val="22"/>
        </w:rPr>
        <w:t>s</w:t>
      </w:r>
      <w:r w:rsidR="00103420" w:rsidRPr="00682652">
        <w:rPr>
          <w:rFonts w:ascii="Cambria" w:hAnsi="Cambria" w:cs="Times New Roman"/>
          <w:sz w:val="22"/>
          <w:szCs w:val="22"/>
        </w:rPr>
        <w:t xml:space="preserve"> about the kind of robust labeling that Americans have come to expect on every other food and beverage item they consume.</w:t>
      </w:r>
    </w:p>
    <w:p w14:paraId="55277804" w14:textId="1BE8D9A2" w:rsidR="00DA2D5E" w:rsidRPr="00682652" w:rsidRDefault="000166FD" w:rsidP="00702C1E">
      <w:pPr>
        <w:spacing w:after="0" w:line="276" w:lineRule="auto"/>
        <w:ind w:left="-450"/>
        <w:rPr>
          <w:rFonts w:ascii="Cambria" w:hAnsi="Cambria" w:cs="Times New Roman"/>
          <w:sz w:val="22"/>
          <w:szCs w:val="22"/>
        </w:rPr>
      </w:pPr>
      <w:r w:rsidRPr="00682652">
        <w:rPr>
          <w:rFonts w:ascii="Cambria" w:hAnsi="Cambria" w:cs="Times New Roman"/>
          <w:sz w:val="22"/>
          <w:szCs w:val="22"/>
        </w:rPr>
        <w:br/>
      </w:r>
      <w:r w:rsidR="00DA2D5E" w:rsidRPr="00682652">
        <w:rPr>
          <w:rFonts w:ascii="Cambria" w:hAnsi="Cambria" w:cs="Times New Roman"/>
          <w:sz w:val="22"/>
          <w:szCs w:val="22"/>
        </w:rPr>
        <w:t xml:space="preserve">Thank you in advance for your consideration. </w:t>
      </w:r>
    </w:p>
    <w:p w14:paraId="1DD94333" w14:textId="77777777" w:rsidR="00DA2D5E" w:rsidRPr="00682652" w:rsidRDefault="00DA2D5E" w:rsidP="003607A8">
      <w:pPr>
        <w:spacing w:after="0" w:line="276" w:lineRule="auto"/>
        <w:rPr>
          <w:rFonts w:ascii="Cambria" w:hAnsi="Cambria" w:cs="Times New Roman"/>
          <w:sz w:val="22"/>
          <w:szCs w:val="22"/>
        </w:rPr>
      </w:pPr>
    </w:p>
    <w:p w14:paraId="573A1D84" w14:textId="77777777" w:rsidR="00702C1E" w:rsidRPr="00682652" w:rsidRDefault="00DA2D5E" w:rsidP="00702C1E">
      <w:pPr>
        <w:spacing w:after="0" w:line="276" w:lineRule="auto"/>
        <w:ind w:left="-450"/>
        <w:rPr>
          <w:rFonts w:ascii="Cambria" w:hAnsi="Cambria" w:cs="Times New Roman"/>
          <w:sz w:val="22"/>
          <w:szCs w:val="22"/>
        </w:rPr>
      </w:pPr>
      <w:r w:rsidRPr="00682652">
        <w:rPr>
          <w:rFonts w:ascii="Cambria" w:hAnsi="Cambria" w:cs="Times New Roman"/>
          <w:sz w:val="22"/>
          <w:szCs w:val="22"/>
        </w:rPr>
        <w:t xml:space="preserve">Respectfully, </w:t>
      </w:r>
      <w:r w:rsidR="00702C1E" w:rsidRPr="00682652">
        <w:rPr>
          <w:rFonts w:ascii="Cambria" w:hAnsi="Cambria" w:cs="Times New Roman"/>
          <w:sz w:val="22"/>
          <w:szCs w:val="22"/>
        </w:rPr>
        <w:br/>
      </w:r>
    </w:p>
    <w:p w14:paraId="0059BA17" w14:textId="21EDC6B7" w:rsidR="00702C1E" w:rsidRPr="00682652" w:rsidRDefault="00702C1E" w:rsidP="00702C1E">
      <w:pPr>
        <w:spacing w:after="0" w:line="276" w:lineRule="auto"/>
        <w:ind w:left="-450"/>
        <w:rPr>
          <w:rFonts w:ascii="Cambria" w:hAnsi="Cambria" w:cs="Times New Roman"/>
          <w:sz w:val="22"/>
          <w:szCs w:val="22"/>
        </w:rPr>
      </w:pPr>
      <w:r w:rsidRPr="00682652">
        <w:rPr>
          <w:rFonts w:ascii="Cambria" w:hAnsi="Cambria" w:cs="Times New Roman"/>
          <w:sz w:val="22"/>
          <w:szCs w:val="22"/>
        </w:rPr>
        <w:t>Kenneth Mendez</w:t>
      </w:r>
      <w:r w:rsidRPr="00682652">
        <w:rPr>
          <w:rFonts w:ascii="Cambria" w:hAnsi="Cambria" w:cs="Times New Roman"/>
          <w:sz w:val="22"/>
          <w:szCs w:val="22"/>
        </w:rPr>
        <w:t xml:space="preserve">, </w:t>
      </w:r>
      <w:r w:rsidRPr="00682652">
        <w:rPr>
          <w:rFonts w:ascii="Cambria" w:hAnsi="Cambria" w:cs="Times New Roman"/>
          <w:sz w:val="22"/>
          <w:szCs w:val="22"/>
        </w:rPr>
        <w:t>President and CEO</w:t>
      </w:r>
      <w:r w:rsidRPr="00682652">
        <w:rPr>
          <w:rFonts w:ascii="Cambria" w:hAnsi="Cambria" w:cs="Times New Roman"/>
          <w:sz w:val="22"/>
          <w:szCs w:val="22"/>
        </w:rPr>
        <w:br/>
      </w:r>
      <w:r w:rsidRPr="00682652">
        <w:rPr>
          <w:rFonts w:ascii="Cambria" w:hAnsi="Cambria" w:cs="Times New Roman"/>
          <w:sz w:val="22"/>
          <w:szCs w:val="22"/>
        </w:rPr>
        <w:t>Asthma and Allergy Foundation of America</w:t>
      </w:r>
      <w:r w:rsidRPr="00682652">
        <w:rPr>
          <w:rFonts w:ascii="Cambria" w:hAnsi="Cambria" w:cs="Times New Roman"/>
          <w:sz w:val="22"/>
          <w:szCs w:val="22"/>
        </w:rPr>
        <w:br/>
      </w:r>
      <w:r w:rsidRPr="00682652">
        <w:rPr>
          <w:rFonts w:ascii="Cambria" w:hAnsi="Cambria" w:cs="Times New Roman"/>
          <w:sz w:val="22"/>
          <w:szCs w:val="22"/>
        </w:rPr>
        <w:br/>
        <w:t>Peter Lurie, MD, MPH,</w:t>
      </w:r>
      <w:r w:rsidR="00682652" w:rsidRPr="00682652">
        <w:rPr>
          <w:rFonts w:ascii="Cambria" w:hAnsi="Cambria" w:cs="Times New Roman"/>
          <w:sz w:val="22"/>
          <w:szCs w:val="22"/>
        </w:rPr>
        <w:t xml:space="preserve"> Executive Director and President</w:t>
      </w:r>
      <w:r w:rsidR="00682652" w:rsidRPr="00682652">
        <w:rPr>
          <w:rFonts w:ascii="Cambria" w:hAnsi="Cambria" w:cs="Times New Roman"/>
          <w:sz w:val="22"/>
          <w:szCs w:val="22"/>
        </w:rPr>
        <w:br/>
        <w:t>Center for Science in the Public Interest</w:t>
      </w:r>
      <w:r w:rsidRPr="00682652">
        <w:rPr>
          <w:rFonts w:ascii="Cambria" w:hAnsi="Cambria" w:cs="Times New Roman"/>
          <w:sz w:val="22"/>
          <w:szCs w:val="22"/>
        </w:rPr>
        <w:t xml:space="preserve"> </w:t>
      </w:r>
    </w:p>
    <w:p w14:paraId="66962190" w14:textId="77777777" w:rsidR="00702C1E" w:rsidRPr="00682652" w:rsidRDefault="00702C1E" w:rsidP="00702C1E">
      <w:pPr>
        <w:spacing w:after="0" w:line="276" w:lineRule="auto"/>
        <w:ind w:left="-450"/>
        <w:rPr>
          <w:rFonts w:ascii="Cambria" w:hAnsi="Cambria" w:cs="Times New Roman"/>
          <w:sz w:val="22"/>
          <w:szCs w:val="22"/>
        </w:rPr>
      </w:pPr>
    </w:p>
    <w:p w14:paraId="2D21C11E" w14:textId="3F092186" w:rsidR="00702C1E" w:rsidRPr="00682652" w:rsidRDefault="00702C1E" w:rsidP="00702C1E">
      <w:pPr>
        <w:spacing w:after="0" w:line="276" w:lineRule="auto"/>
        <w:ind w:left="-450"/>
        <w:rPr>
          <w:rFonts w:ascii="Cambria" w:hAnsi="Cambria" w:cs="Times New Roman"/>
          <w:sz w:val="22"/>
          <w:szCs w:val="22"/>
        </w:rPr>
      </w:pPr>
      <w:r w:rsidRPr="00682652">
        <w:rPr>
          <w:rFonts w:ascii="Cambria" w:hAnsi="Cambria" w:cs="Times New Roman"/>
          <w:sz w:val="22"/>
          <w:szCs w:val="22"/>
        </w:rPr>
        <w:t>Thomas Gremillion</w:t>
      </w:r>
      <w:r w:rsidRPr="00682652">
        <w:rPr>
          <w:rFonts w:ascii="Cambria" w:hAnsi="Cambria" w:cs="Times New Roman"/>
          <w:sz w:val="22"/>
          <w:szCs w:val="22"/>
        </w:rPr>
        <w:t xml:space="preserve">, </w:t>
      </w:r>
      <w:r w:rsidRPr="00682652">
        <w:rPr>
          <w:rFonts w:ascii="Cambria" w:hAnsi="Cambria" w:cs="Times New Roman"/>
          <w:sz w:val="22"/>
          <w:szCs w:val="22"/>
        </w:rPr>
        <w:t>Director of Food Policy</w:t>
      </w:r>
    </w:p>
    <w:p w14:paraId="02FA6BED" w14:textId="77777777" w:rsidR="00702C1E" w:rsidRPr="00682652" w:rsidRDefault="00702C1E" w:rsidP="00702C1E">
      <w:pPr>
        <w:spacing w:after="0" w:line="276" w:lineRule="auto"/>
        <w:ind w:left="-450"/>
        <w:rPr>
          <w:rFonts w:ascii="Cambria" w:hAnsi="Cambria" w:cs="Times New Roman"/>
          <w:sz w:val="22"/>
          <w:szCs w:val="22"/>
        </w:rPr>
      </w:pPr>
      <w:r w:rsidRPr="00682652">
        <w:rPr>
          <w:rFonts w:ascii="Cambria" w:hAnsi="Cambria" w:cs="Times New Roman"/>
          <w:sz w:val="22"/>
          <w:szCs w:val="22"/>
        </w:rPr>
        <w:t>Consumer Federation of America</w:t>
      </w:r>
    </w:p>
    <w:p w14:paraId="161F7215" w14:textId="77777777" w:rsidR="00702C1E" w:rsidRPr="00682652" w:rsidRDefault="00702C1E" w:rsidP="00702C1E">
      <w:pPr>
        <w:spacing w:after="0" w:line="276" w:lineRule="auto"/>
        <w:ind w:left="-450"/>
        <w:rPr>
          <w:rFonts w:ascii="Cambria" w:hAnsi="Cambria" w:cs="Times New Roman"/>
          <w:sz w:val="22"/>
          <w:szCs w:val="22"/>
        </w:rPr>
      </w:pPr>
    </w:p>
    <w:p w14:paraId="1E4B1207" w14:textId="48184AE3" w:rsidR="00176564" w:rsidRPr="00682652" w:rsidRDefault="00702C1E" w:rsidP="00702C1E">
      <w:pPr>
        <w:ind w:left="-450"/>
        <w:rPr>
          <w:rFonts w:ascii="Cambria" w:hAnsi="Cambria" w:cs="Times New Roman"/>
          <w:sz w:val="22"/>
          <w:szCs w:val="22"/>
        </w:rPr>
      </w:pPr>
      <w:r w:rsidRPr="00682652">
        <w:rPr>
          <w:rFonts w:ascii="Cambria" w:hAnsi="Cambria" w:cs="Times New Roman"/>
          <w:sz w:val="22"/>
          <w:szCs w:val="22"/>
        </w:rPr>
        <w:t>Jason Linde, Senior Vice President, Advocacy</w:t>
      </w:r>
      <w:r w:rsidRPr="00682652">
        <w:rPr>
          <w:rFonts w:ascii="Cambria" w:hAnsi="Cambria" w:cs="Times New Roman"/>
          <w:sz w:val="22"/>
          <w:szCs w:val="22"/>
        </w:rPr>
        <w:br/>
      </w:r>
      <w:r w:rsidRPr="00682652">
        <w:rPr>
          <w:rFonts w:ascii="Cambria" w:hAnsi="Cambria" w:cs="Times New Roman"/>
          <w:sz w:val="22"/>
          <w:szCs w:val="22"/>
        </w:rPr>
        <w:t>FARE</w:t>
      </w:r>
      <w:r w:rsidRPr="00682652">
        <w:rPr>
          <w:rFonts w:ascii="Cambria" w:hAnsi="Cambria" w:cs="Times New Roman"/>
          <w:sz w:val="22"/>
          <w:szCs w:val="22"/>
        </w:rPr>
        <w:br/>
      </w:r>
      <w:r w:rsidRPr="00682652">
        <w:rPr>
          <w:rFonts w:ascii="Cambria" w:hAnsi="Cambria" w:cs="Times New Roman"/>
          <w:sz w:val="22"/>
          <w:szCs w:val="22"/>
        </w:rPr>
        <w:br/>
        <w:t>Sally Greenberg, President and CEO</w:t>
      </w:r>
      <w:r w:rsidRPr="00682652">
        <w:rPr>
          <w:rFonts w:ascii="Cambria" w:hAnsi="Cambria" w:cs="Times New Roman"/>
          <w:sz w:val="22"/>
          <w:szCs w:val="22"/>
        </w:rPr>
        <w:br/>
        <w:t>National Consumers League</w:t>
      </w:r>
      <w:r w:rsidR="00176564" w:rsidRPr="00682652">
        <w:rPr>
          <w:rFonts w:ascii="Cambria" w:hAnsi="Cambria" w:cs="Times New Roman"/>
          <w:sz w:val="22"/>
          <w:szCs w:val="22"/>
        </w:rPr>
        <w:br w:type="page"/>
      </w:r>
    </w:p>
    <w:p w14:paraId="33110181" w14:textId="77777777" w:rsidR="001579B2" w:rsidRPr="00682652" w:rsidRDefault="001579B2" w:rsidP="003607A8">
      <w:pPr>
        <w:spacing w:after="0" w:line="276" w:lineRule="auto"/>
        <w:rPr>
          <w:rFonts w:ascii="Cambria" w:hAnsi="Cambria"/>
          <w:sz w:val="22"/>
          <w:szCs w:val="22"/>
        </w:rPr>
      </w:pPr>
    </w:p>
    <w:sectPr w:rsidR="001579B2" w:rsidRPr="00682652" w:rsidSect="00161F34">
      <w:headerReference w:type="default" r:id="rId11"/>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ED08" w14:textId="77777777" w:rsidR="00161F34" w:rsidRDefault="00161F34" w:rsidP="00125286">
      <w:pPr>
        <w:spacing w:after="0" w:line="240" w:lineRule="auto"/>
      </w:pPr>
      <w:r>
        <w:separator/>
      </w:r>
    </w:p>
  </w:endnote>
  <w:endnote w:type="continuationSeparator" w:id="0">
    <w:p w14:paraId="4BDBB380" w14:textId="77777777" w:rsidR="00161F34" w:rsidRDefault="00161F34" w:rsidP="00125286">
      <w:pPr>
        <w:spacing w:after="0" w:line="240" w:lineRule="auto"/>
      </w:pPr>
      <w:r>
        <w:continuationSeparator/>
      </w:r>
    </w:p>
  </w:endnote>
  <w:endnote w:id="1">
    <w:p w14:paraId="08E76A65" w14:textId="5DBEBD07" w:rsidR="00BD1C55" w:rsidRPr="007332FE" w:rsidRDefault="00BD1C55">
      <w:pPr>
        <w:pStyle w:val="EndnoteText"/>
        <w:rPr>
          <w:rFonts w:ascii="Calibri" w:hAnsi="Calibri" w:cs="Calibri"/>
        </w:rPr>
      </w:pPr>
      <w:r w:rsidRPr="007332FE">
        <w:rPr>
          <w:rStyle w:val="EndnoteReference"/>
          <w:rFonts w:ascii="Calibri" w:hAnsi="Calibri" w:cs="Calibri"/>
        </w:rPr>
        <w:endnoteRef/>
      </w:r>
      <w:r w:rsidRPr="007332FE">
        <w:rPr>
          <w:rFonts w:ascii="Calibri" w:hAnsi="Calibri" w:cs="Calibri"/>
        </w:rPr>
        <w:t xml:space="preserve"> </w:t>
      </w:r>
      <w:r w:rsidR="00377506" w:rsidRPr="007332FE">
        <w:rPr>
          <w:rFonts w:ascii="Calibri" w:hAnsi="Calibri" w:cs="Calibri"/>
        </w:rPr>
        <w:t xml:space="preserve">Department of the Treasury, Alcohol and Tobacco Tax and Trade Bureau. Letter </w:t>
      </w:r>
      <w:r w:rsidR="0081337A" w:rsidRPr="007332FE">
        <w:rPr>
          <w:rFonts w:ascii="Calibri" w:hAnsi="Calibri" w:cs="Calibri"/>
        </w:rPr>
        <w:t xml:space="preserve">to Peter Lurie, Susan Weinstock, and Sally Greenberg. November 17, 2022. Available at: </w:t>
      </w:r>
      <w:hyperlink r:id="rId1" w:history="1">
        <w:r w:rsidR="00956ACA" w:rsidRPr="00184A67">
          <w:rPr>
            <w:rStyle w:val="Hyperlink"/>
            <w:rFonts w:ascii="Calibri" w:hAnsi="Calibri" w:cs="Calibri"/>
          </w:rPr>
          <w:t>https://www.cspinet.org/resource/ttb-letter-re-alcohol-facts-label-petition</w:t>
        </w:r>
      </w:hyperlink>
      <w:r w:rsidR="00956ACA">
        <w:rPr>
          <w:rFonts w:ascii="Calibri" w:hAnsi="Calibri" w:cs="Calibri"/>
        </w:rPr>
        <w:t xml:space="preserve">. </w:t>
      </w:r>
    </w:p>
  </w:endnote>
  <w:endnote w:id="2">
    <w:p w14:paraId="341DCB71" w14:textId="03F1AEEC" w:rsidR="00CC6127" w:rsidRPr="007332FE" w:rsidRDefault="00CC6127">
      <w:pPr>
        <w:pStyle w:val="EndnoteText"/>
        <w:rPr>
          <w:rFonts w:ascii="Calibri" w:hAnsi="Calibri" w:cs="Calibri"/>
          <w:i/>
          <w:iCs/>
        </w:rPr>
      </w:pPr>
      <w:r w:rsidRPr="007332FE">
        <w:rPr>
          <w:rStyle w:val="EndnoteReference"/>
          <w:rFonts w:ascii="Calibri" w:hAnsi="Calibri" w:cs="Calibri"/>
        </w:rPr>
        <w:endnoteRef/>
      </w:r>
      <w:r w:rsidRPr="007332FE">
        <w:rPr>
          <w:rFonts w:ascii="Calibri" w:hAnsi="Calibri" w:cs="Calibri"/>
        </w:rPr>
        <w:t xml:space="preserve"> </w:t>
      </w:r>
      <w:r w:rsidRPr="007332FE">
        <w:rPr>
          <w:rFonts w:ascii="Calibri" w:hAnsi="Calibri" w:cs="Calibri"/>
          <w:i/>
          <w:iCs/>
        </w:rPr>
        <w:t>Id.</w:t>
      </w:r>
    </w:p>
  </w:endnote>
  <w:endnote w:id="3">
    <w:p w14:paraId="16716D4A" w14:textId="55677A4F" w:rsidR="00427FCE" w:rsidRPr="007332FE" w:rsidRDefault="00427FCE">
      <w:pPr>
        <w:pStyle w:val="EndnoteText"/>
        <w:rPr>
          <w:rFonts w:ascii="Calibri" w:hAnsi="Calibri" w:cs="Calibri"/>
        </w:rPr>
      </w:pPr>
      <w:r w:rsidRPr="007332FE">
        <w:rPr>
          <w:rStyle w:val="EndnoteReference"/>
          <w:rFonts w:ascii="Calibri" w:hAnsi="Calibri" w:cs="Calibri"/>
        </w:rPr>
        <w:endnoteRef/>
      </w:r>
      <w:r w:rsidRPr="007332FE">
        <w:rPr>
          <w:rFonts w:ascii="Calibri" w:hAnsi="Calibri" w:cs="Calibri"/>
        </w:rPr>
        <w:t xml:space="preserve"> Center for Science in the Public Interest. Consumer groups obtain TTB commitment to issue rulemakings on mandatory alcohol labeling. </w:t>
      </w:r>
      <w:r w:rsidR="00636D09" w:rsidRPr="007332FE">
        <w:rPr>
          <w:rFonts w:ascii="Calibri" w:hAnsi="Calibri" w:cs="Calibri"/>
        </w:rPr>
        <w:t xml:space="preserve">November 21, 2022. Available at: </w:t>
      </w:r>
      <w:hyperlink r:id="rId2" w:history="1">
        <w:r w:rsidR="00636D09" w:rsidRPr="007332FE">
          <w:rPr>
            <w:rStyle w:val="Hyperlink"/>
            <w:rFonts w:ascii="Calibri" w:hAnsi="Calibri" w:cs="Calibri"/>
          </w:rPr>
          <w:t>https://www.cspinet.org/press-release/consumer-groups-obtain-ttb-commitment-issue-rulemakings-mandatory-alcohol-labeling</w:t>
        </w:r>
      </w:hyperlink>
      <w:r w:rsidR="00636D09" w:rsidRPr="007332FE">
        <w:rPr>
          <w:rFonts w:ascii="Calibri" w:hAnsi="Calibri" w:cs="Calibri"/>
        </w:rPr>
        <w:t xml:space="preserve"> </w:t>
      </w:r>
    </w:p>
  </w:endnote>
  <w:endnote w:id="4">
    <w:p w14:paraId="7BB8FD76" w14:textId="4D6D7C99" w:rsidR="008517DD" w:rsidRPr="007332FE" w:rsidRDefault="008517DD">
      <w:pPr>
        <w:pStyle w:val="EndnoteText"/>
        <w:rPr>
          <w:rFonts w:ascii="Calibri" w:hAnsi="Calibri" w:cs="Calibri"/>
        </w:rPr>
      </w:pPr>
      <w:r w:rsidRPr="007332FE">
        <w:rPr>
          <w:rStyle w:val="EndnoteReference"/>
          <w:rFonts w:ascii="Calibri" w:hAnsi="Calibri" w:cs="Calibri"/>
        </w:rPr>
        <w:endnoteRef/>
      </w:r>
      <w:r w:rsidRPr="007332FE">
        <w:rPr>
          <w:rFonts w:ascii="Calibri" w:hAnsi="Calibri" w:cs="Calibri"/>
        </w:rPr>
        <w:t xml:space="preserve"> </w:t>
      </w:r>
      <w:r w:rsidR="00CE21AD" w:rsidRPr="007332FE">
        <w:rPr>
          <w:rFonts w:ascii="Calibri" w:hAnsi="Calibri" w:cs="Calibri"/>
        </w:rPr>
        <w:t xml:space="preserve">Department of the Treasury, Alcohol and Tobacco Tax and Trade Bureau. </w:t>
      </w:r>
      <w:r w:rsidR="003C1CB4" w:rsidRPr="007332FE">
        <w:rPr>
          <w:rFonts w:ascii="Calibri" w:hAnsi="Calibri" w:cs="Calibri"/>
        </w:rPr>
        <w:t xml:space="preserve">Labeling and Advertising of Wine, Distilled Spirits, and Malt Beverages with Alcohol Content, Nutritional Information, Major Food Allergens, and Ingredients; Announcement of listening sessions; request for comments. </w:t>
      </w:r>
      <w:r w:rsidR="002D2AC8" w:rsidRPr="007332FE">
        <w:rPr>
          <w:rFonts w:ascii="Calibri" w:hAnsi="Calibri" w:cs="Calibri"/>
        </w:rPr>
        <w:t xml:space="preserve">89 </w:t>
      </w:r>
      <w:r w:rsidR="003C1CB4" w:rsidRPr="007332FE">
        <w:rPr>
          <w:rFonts w:ascii="Calibri" w:hAnsi="Calibri" w:cs="Calibri"/>
        </w:rPr>
        <w:t xml:space="preserve">Fed. Reg. </w:t>
      </w:r>
      <w:r w:rsidR="00402FDC" w:rsidRPr="007332FE">
        <w:rPr>
          <w:rFonts w:ascii="Calibri" w:hAnsi="Calibri" w:cs="Calibri"/>
        </w:rPr>
        <w:t>6171</w:t>
      </w:r>
      <w:r w:rsidR="003C1CB4" w:rsidRPr="007332FE">
        <w:rPr>
          <w:rFonts w:ascii="Calibri" w:hAnsi="Calibri" w:cs="Calibri"/>
        </w:rPr>
        <w:t>.</w:t>
      </w:r>
      <w:r w:rsidR="002D2AC8" w:rsidRPr="007332FE">
        <w:rPr>
          <w:rFonts w:ascii="Calibri" w:hAnsi="Calibri" w:cs="Calibri"/>
        </w:rPr>
        <w:t xml:space="preserve"> January 31, 2024.</w:t>
      </w:r>
    </w:p>
  </w:endnote>
  <w:endnote w:id="5">
    <w:p w14:paraId="2EB67B05" w14:textId="1E3BD5FE" w:rsidR="003B3CC8" w:rsidRPr="007332FE" w:rsidRDefault="003B3CC8" w:rsidP="003A555A">
      <w:pPr>
        <w:pStyle w:val="EndnoteText"/>
        <w:rPr>
          <w:rFonts w:ascii="Calibri" w:hAnsi="Calibri" w:cs="Calibri"/>
        </w:rPr>
      </w:pPr>
      <w:r w:rsidRPr="007332FE">
        <w:rPr>
          <w:rStyle w:val="EndnoteReference"/>
          <w:rFonts w:ascii="Calibri" w:eastAsiaTheme="majorEastAsia" w:hAnsi="Calibri" w:cs="Calibri"/>
        </w:rPr>
        <w:endnoteRef/>
      </w:r>
      <w:r w:rsidRPr="007332FE">
        <w:rPr>
          <w:rFonts w:ascii="Calibri" w:hAnsi="Calibri" w:cs="Calibri"/>
        </w:rPr>
        <w:t xml:space="preserve"> </w:t>
      </w:r>
      <w:r w:rsidR="00801A89" w:rsidRPr="007332FE">
        <w:rPr>
          <w:rFonts w:ascii="Calibri" w:hAnsi="Calibri" w:cs="Calibri"/>
        </w:rPr>
        <w:t xml:space="preserve">Substance Abuse and Mental Health Services Administration. 2022 National Survey on Drug Use and Health. </w:t>
      </w:r>
      <w:r w:rsidR="00FA5484" w:rsidRPr="007332FE">
        <w:rPr>
          <w:rFonts w:ascii="Calibri" w:hAnsi="Calibri" w:cs="Calibri"/>
        </w:rPr>
        <w:t xml:space="preserve">Data Table </w:t>
      </w:r>
      <w:r w:rsidR="002C7E91" w:rsidRPr="007332FE">
        <w:rPr>
          <w:rFonts w:ascii="Calibri" w:hAnsi="Calibri" w:cs="Calibri"/>
        </w:rPr>
        <w:t xml:space="preserve">2.25B- Alcohol Use in Lifetime: Among People Aged 12 or Older; by Age Group and Demographic Characteristics, Percentages, 2021 and 2022. Available at: </w:t>
      </w:r>
      <w:hyperlink r:id="rId3" w:anchor="annual-national-report" w:history="1">
        <w:r w:rsidR="002C7E91" w:rsidRPr="007332FE">
          <w:rPr>
            <w:rStyle w:val="Hyperlink"/>
            <w:rFonts w:ascii="Calibri" w:hAnsi="Calibri" w:cs="Calibri"/>
          </w:rPr>
          <w:t>https://www.samhsa.gov/data/release/2022-national-survey-drug-use-and-health-nsduh-releases#annual-national-report</w:t>
        </w:r>
      </w:hyperlink>
      <w:r w:rsidR="002C7E91" w:rsidRPr="007332FE">
        <w:rPr>
          <w:rFonts w:ascii="Calibri" w:hAnsi="Calibri" w:cs="Calibri"/>
        </w:rPr>
        <w:t xml:space="preserve"> </w:t>
      </w:r>
    </w:p>
  </w:endnote>
  <w:endnote w:id="6">
    <w:p w14:paraId="299A4C67" w14:textId="0ACF3E86" w:rsidR="003B3CC8" w:rsidRPr="007332FE" w:rsidRDefault="003B3CC8" w:rsidP="003A555A">
      <w:pPr>
        <w:pStyle w:val="EndnoteText"/>
        <w:rPr>
          <w:rFonts w:ascii="Calibri" w:hAnsi="Calibri" w:cs="Calibri"/>
        </w:rPr>
      </w:pPr>
      <w:r w:rsidRPr="007332FE">
        <w:rPr>
          <w:rStyle w:val="EndnoteReference"/>
          <w:rFonts w:ascii="Calibri" w:eastAsiaTheme="majorEastAsia" w:hAnsi="Calibri" w:cs="Calibri"/>
        </w:rPr>
        <w:endnoteRef/>
      </w:r>
      <w:r w:rsidR="009430BE" w:rsidRPr="007332FE">
        <w:rPr>
          <w:rFonts w:ascii="Calibri" w:hAnsi="Calibri" w:cs="Calibri"/>
        </w:rPr>
        <w:t xml:space="preserve">Substance Abuse and Mental Health Services Administration. 2022 National Survey on Drug Use and Health. Data Table 2.25A- Alcohol Use in Lifetime: Among People Aged 12 or Older; by Age Group and Demographic Characteristics, </w:t>
      </w:r>
      <w:r w:rsidR="00914347" w:rsidRPr="007332FE">
        <w:rPr>
          <w:rFonts w:ascii="Calibri" w:hAnsi="Calibri" w:cs="Calibri"/>
        </w:rPr>
        <w:t>Numbers in Thousands</w:t>
      </w:r>
      <w:r w:rsidR="009430BE" w:rsidRPr="007332FE">
        <w:rPr>
          <w:rFonts w:ascii="Calibri" w:hAnsi="Calibri" w:cs="Calibri"/>
        </w:rPr>
        <w:t xml:space="preserve">, 2021 and 2022. Available at: </w:t>
      </w:r>
      <w:hyperlink r:id="rId4" w:anchor="annual-national-report" w:history="1">
        <w:r w:rsidR="009430BE" w:rsidRPr="007332FE">
          <w:rPr>
            <w:rStyle w:val="Hyperlink"/>
            <w:rFonts w:ascii="Calibri" w:hAnsi="Calibri" w:cs="Calibri"/>
          </w:rPr>
          <w:t>https://www.samhsa.gov/data/release/2022-national-survey-drug-use-and-health-nsduh-releases#annual-national-report</w:t>
        </w:r>
      </w:hyperlink>
      <w:r w:rsidR="009430BE" w:rsidRPr="007332FE">
        <w:rPr>
          <w:rFonts w:ascii="Calibri" w:hAnsi="Calibri" w:cs="Calibri"/>
        </w:rPr>
        <w:t xml:space="preserve"> </w:t>
      </w:r>
      <w:r w:rsidRPr="007332FE">
        <w:rPr>
          <w:rFonts w:ascii="Calibri" w:hAnsi="Calibri" w:cs="Calibri"/>
        </w:rPr>
        <w:t>.</w:t>
      </w:r>
    </w:p>
  </w:endnote>
  <w:endnote w:id="7">
    <w:p w14:paraId="6B218E1A" w14:textId="01C0BF79" w:rsidR="003B3CC8" w:rsidRPr="007332FE" w:rsidRDefault="003B3CC8">
      <w:pPr>
        <w:pStyle w:val="EndnoteText"/>
        <w:rPr>
          <w:rFonts w:ascii="Calibri" w:hAnsi="Calibri" w:cs="Calibri"/>
        </w:rPr>
      </w:pPr>
      <w:r w:rsidRPr="007332FE">
        <w:rPr>
          <w:rStyle w:val="EndnoteReference"/>
          <w:rFonts w:ascii="Calibri" w:hAnsi="Calibri" w:cs="Calibri"/>
        </w:rPr>
        <w:endnoteRef/>
      </w:r>
      <w:r w:rsidRPr="007332FE">
        <w:rPr>
          <w:rFonts w:ascii="Calibri" w:hAnsi="Calibri" w:cs="Calibri"/>
        </w:rPr>
        <w:t xml:space="preserve"> Estimates of alcohol-related deaths skyrocketed 25.5%</w:t>
      </w:r>
      <w:r w:rsidR="00273CCA">
        <w:rPr>
          <w:rFonts w:ascii="Calibri" w:hAnsi="Calibri" w:cs="Calibri"/>
        </w:rPr>
        <w:t xml:space="preserve"> </w:t>
      </w:r>
      <w:r w:rsidRPr="007332FE">
        <w:rPr>
          <w:rFonts w:ascii="Calibri" w:hAnsi="Calibri" w:cs="Calibri"/>
        </w:rPr>
        <w:t>during the first year of the pandemic</w:t>
      </w:r>
      <w:r w:rsidR="00304907" w:rsidRPr="007332FE">
        <w:rPr>
          <w:rFonts w:ascii="Calibri" w:hAnsi="Calibri" w:cs="Calibri"/>
        </w:rPr>
        <w:t xml:space="preserve"> (2020)</w:t>
      </w:r>
      <w:r w:rsidRPr="007332FE">
        <w:rPr>
          <w:rFonts w:ascii="Calibri" w:hAnsi="Calibri" w:cs="Calibri"/>
        </w:rPr>
        <w:t xml:space="preserve"> followed by a 9.9% increase in deaths during 2021, the most recent year for which data </w:t>
      </w:r>
      <w:r w:rsidR="00304907" w:rsidRPr="007332FE">
        <w:rPr>
          <w:rFonts w:ascii="Calibri" w:hAnsi="Calibri" w:cs="Calibri"/>
        </w:rPr>
        <w:t>are</w:t>
      </w:r>
      <w:r w:rsidRPr="007332FE">
        <w:rPr>
          <w:rFonts w:ascii="Calibri" w:hAnsi="Calibri" w:cs="Calibri"/>
        </w:rPr>
        <w:t xml:space="preserve"> available. </w:t>
      </w:r>
      <w:r w:rsidR="00304907" w:rsidRPr="007332FE">
        <w:rPr>
          <w:rFonts w:ascii="Calibri" w:hAnsi="Calibri" w:cs="Calibri"/>
        </w:rPr>
        <w:t xml:space="preserve">National Institute on Alcohol Abuse and Alcoholism. Alcohol-related deaths, which increased during the first year of the COVID-19 pandemic, continued to rise in 2021. Available at: </w:t>
      </w:r>
      <w:hyperlink r:id="rId5" w:history="1">
        <w:r w:rsidR="00273CCA" w:rsidRPr="00184A67">
          <w:rPr>
            <w:rStyle w:val="Hyperlink"/>
            <w:rFonts w:ascii="Calibri" w:hAnsi="Calibri" w:cs="Calibri"/>
          </w:rPr>
          <w:t>https://www.niaaa.nih.gov/news-events/research-update/alcohol-related-deaths-which-increased-during-first-year-covid-19-pandemic-continued-rise-2021</w:t>
        </w:r>
      </w:hyperlink>
      <w:r w:rsidR="00273CCA">
        <w:rPr>
          <w:rFonts w:ascii="Calibri" w:hAnsi="Calibri" w:cs="Calibri"/>
        </w:rPr>
        <w:t xml:space="preserve"> </w:t>
      </w:r>
      <w:r w:rsidRPr="007332FE">
        <w:rPr>
          <w:rFonts w:ascii="Calibri" w:hAnsi="Calibri" w:cs="Calibri"/>
        </w:rPr>
        <w:t xml:space="preserve"> </w:t>
      </w:r>
    </w:p>
  </w:endnote>
  <w:endnote w:id="8">
    <w:p w14:paraId="00DEECA4" w14:textId="401F3BD9" w:rsidR="003B3CC8" w:rsidRPr="007332FE" w:rsidRDefault="003B3CC8" w:rsidP="00A911B5">
      <w:pPr>
        <w:pStyle w:val="EndnoteText"/>
        <w:rPr>
          <w:rFonts w:ascii="Calibri" w:hAnsi="Calibri" w:cs="Calibri"/>
        </w:rPr>
      </w:pPr>
      <w:r w:rsidRPr="007332FE">
        <w:rPr>
          <w:rStyle w:val="EndnoteReference"/>
          <w:rFonts w:ascii="Calibri" w:eastAsiaTheme="majorEastAsia" w:hAnsi="Calibri" w:cs="Calibri"/>
        </w:rPr>
        <w:endnoteRef/>
      </w:r>
      <w:r w:rsidRPr="007332FE">
        <w:rPr>
          <w:rFonts w:ascii="Calibri" w:hAnsi="Calibri" w:cs="Calibri"/>
        </w:rPr>
        <w:t xml:space="preserve"> Robinson E, et al. Alcohol, calories and obesity: A rapid systematic review and meta-analysis of consumer knowledge, support and behavioral effects of energy labeling on alcoholic drinks. Obesity Reviews. 2021 Jun;22(6</w:t>
      </w:r>
      <w:r w:rsidR="00EE24D7" w:rsidRPr="007332FE">
        <w:rPr>
          <w:rFonts w:ascii="Calibri" w:hAnsi="Calibri" w:cs="Calibri"/>
        </w:rPr>
        <w:t>): e</w:t>
      </w:r>
      <w:r w:rsidRPr="007332FE">
        <w:rPr>
          <w:rFonts w:ascii="Calibri" w:hAnsi="Calibri" w:cs="Calibri"/>
        </w:rPr>
        <w:t>13198.</w:t>
      </w:r>
    </w:p>
  </w:endnote>
  <w:endnote w:id="9">
    <w:p w14:paraId="0328EF34" w14:textId="61EBAA32" w:rsidR="003B3CC8" w:rsidRPr="007332FE" w:rsidRDefault="003B3CC8" w:rsidP="00A911B5">
      <w:pPr>
        <w:pStyle w:val="EndnoteText"/>
        <w:rPr>
          <w:rFonts w:ascii="Calibri" w:hAnsi="Calibri" w:cs="Calibri"/>
        </w:rPr>
      </w:pPr>
      <w:r w:rsidRPr="007332FE">
        <w:rPr>
          <w:rStyle w:val="EndnoteReference"/>
          <w:rFonts w:ascii="Calibri" w:eastAsiaTheme="majorEastAsia" w:hAnsi="Calibri" w:cs="Calibri"/>
        </w:rPr>
        <w:endnoteRef/>
      </w:r>
      <w:r w:rsidRPr="007332FE">
        <w:rPr>
          <w:rFonts w:ascii="Calibri" w:hAnsi="Calibri" w:cs="Calibri"/>
        </w:rPr>
        <w:t xml:space="preserve"> </w:t>
      </w:r>
      <w:r w:rsidR="00547117" w:rsidRPr="007332FE">
        <w:rPr>
          <w:rFonts w:ascii="Calibri" w:hAnsi="Calibri" w:cs="Calibri"/>
        </w:rPr>
        <w:t xml:space="preserve">ElSayed NA, et al. Glycemic Targets: Standards of Care in Diabetes- 2023. </w:t>
      </w:r>
      <w:r w:rsidR="00547117" w:rsidRPr="007332FE">
        <w:rPr>
          <w:rFonts w:ascii="Calibri" w:hAnsi="Calibri" w:cs="Calibri"/>
          <w:i/>
          <w:iCs/>
        </w:rPr>
        <w:t xml:space="preserve">Diabetes Care. </w:t>
      </w:r>
      <w:r w:rsidR="00547117" w:rsidRPr="007332FE">
        <w:rPr>
          <w:rFonts w:ascii="Calibri" w:hAnsi="Calibri" w:cs="Calibri"/>
        </w:rPr>
        <w:t>2023;46(Suppl. 1</w:t>
      </w:r>
      <w:r w:rsidR="00EE24D7" w:rsidRPr="007332FE">
        <w:rPr>
          <w:rFonts w:ascii="Calibri" w:hAnsi="Calibri" w:cs="Calibri"/>
        </w:rPr>
        <w:t>): S</w:t>
      </w:r>
      <w:r w:rsidR="00547117" w:rsidRPr="007332FE">
        <w:rPr>
          <w:rFonts w:ascii="Calibri" w:hAnsi="Calibri" w:cs="Calibri"/>
        </w:rPr>
        <w:t xml:space="preserve">97-S110. </w:t>
      </w:r>
      <w:hyperlink r:id="rId6" w:tgtFrame="_blank" w:history="1">
        <w:r w:rsidR="00D66247" w:rsidRPr="007332FE">
          <w:rPr>
            <w:rStyle w:val="Hyperlink"/>
            <w:rFonts w:ascii="Calibri" w:hAnsi="Calibri" w:cs="Calibri"/>
            <w:color w:val="0F5DB9"/>
            <w:bdr w:val="none" w:sz="0" w:space="0" w:color="auto" w:frame="1"/>
            <w:shd w:val="clear" w:color="auto" w:fill="FFFFFF"/>
          </w:rPr>
          <w:t>https://doi.org/10.2337/dc23-S006</w:t>
        </w:r>
      </w:hyperlink>
      <w:r w:rsidR="00D66247" w:rsidRPr="007332FE">
        <w:rPr>
          <w:rFonts w:ascii="Calibri" w:hAnsi="Calibri" w:cs="Calibri"/>
        </w:rPr>
        <w:t xml:space="preserve">. </w:t>
      </w:r>
    </w:p>
  </w:endnote>
  <w:endnote w:id="10">
    <w:p w14:paraId="4057C00B" w14:textId="7FE67A8C" w:rsidR="003B3CC8" w:rsidRPr="007332FE" w:rsidRDefault="003B3CC8" w:rsidP="005451F6">
      <w:pPr>
        <w:pStyle w:val="EndnoteText"/>
        <w:rPr>
          <w:rFonts w:ascii="Calibri" w:hAnsi="Calibri" w:cs="Calibri"/>
        </w:rPr>
      </w:pPr>
      <w:r w:rsidRPr="007332FE">
        <w:rPr>
          <w:rStyle w:val="EndnoteReference"/>
          <w:rFonts w:ascii="Calibri" w:eastAsiaTheme="majorEastAsia" w:hAnsi="Calibri" w:cs="Calibri"/>
        </w:rPr>
        <w:endnoteRef/>
      </w:r>
      <w:r w:rsidRPr="007332FE">
        <w:rPr>
          <w:rFonts w:ascii="Calibri" w:hAnsi="Calibri" w:cs="Calibri"/>
        </w:rPr>
        <w:t xml:space="preserve"> </w:t>
      </w:r>
      <w:r w:rsidR="00FB40C7" w:rsidRPr="007332FE">
        <w:rPr>
          <w:rFonts w:ascii="Calibri" w:hAnsi="Calibri" w:cs="Calibri"/>
        </w:rPr>
        <w:t xml:space="preserve">U.S. Department of Transportation, </w:t>
      </w:r>
      <w:r w:rsidRPr="007332FE">
        <w:rPr>
          <w:rFonts w:ascii="Calibri" w:hAnsi="Calibri" w:cs="Calibri"/>
        </w:rPr>
        <w:t>National Highway Traffic Safety Administration.</w:t>
      </w:r>
      <w:r w:rsidR="00FB40C7" w:rsidRPr="007332FE">
        <w:rPr>
          <w:rFonts w:ascii="Calibri" w:hAnsi="Calibri" w:cs="Calibri"/>
        </w:rPr>
        <w:t xml:space="preserve"> Overview of Motor Vehicle Traffic Crashes in 2021</w:t>
      </w:r>
      <w:r w:rsidR="007729EC" w:rsidRPr="007332FE">
        <w:rPr>
          <w:rFonts w:ascii="Calibri" w:hAnsi="Calibri" w:cs="Calibri"/>
        </w:rPr>
        <w:t xml:space="preserve"> (Report No. DOT HS 813 435)</w:t>
      </w:r>
      <w:r w:rsidR="00FB40C7" w:rsidRPr="007332FE">
        <w:rPr>
          <w:rFonts w:ascii="Calibri" w:hAnsi="Calibri" w:cs="Calibri"/>
        </w:rPr>
        <w:t>.</w:t>
      </w:r>
      <w:r w:rsidR="007729EC" w:rsidRPr="007332FE">
        <w:rPr>
          <w:rFonts w:ascii="Calibri" w:hAnsi="Calibri" w:cs="Calibri"/>
        </w:rPr>
        <w:t xml:space="preserve"> </w:t>
      </w:r>
      <w:hyperlink r:id="rId7" w:history="1">
        <w:r w:rsidR="007729EC" w:rsidRPr="007332FE">
          <w:rPr>
            <w:rStyle w:val="Hyperlink"/>
            <w:rFonts w:ascii="Calibri" w:hAnsi="Calibri" w:cs="Calibri"/>
          </w:rPr>
          <w:t>https://crashstats.nhtsa.dot.gov/Api/Public/ViewPublication/813435</w:t>
        </w:r>
      </w:hyperlink>
      <w:r w:rsidR="007729EC" w:rsidRPr="007332FE">
        <w:rPr>
          <w:rFonts w:ascii="Calibri" w:hAnsi="Calibri" w:cs="Calibri"/>
        </w:rPr>
        <w:t>.</w:t>
      </w:r>
      <w:r w:rsidR="007332FE" w:rsidRPr="007332FE" w:rsidDel="00FB40C7">
        <w:rPr>
          <w:rFonts w:ascii="Calibri" w:hAnsi="Calibri" w:cs="Calibri"/>
        </w:rPr>
        <w:t xml:space="preserve"> </w:t>
      </w:r>
    </w:p>
  </w:endnote>
  <w:endnote w:id="11">
    <w:p w14:paraId="02EB1F1B" w14:textId="2BEE7FD2" w:rsidR="003B3CC8" w:rsidRPr="007332FE" w:rsidRDefault="003B3CC8" w:rsidP="00F07294">
      <w:pPr>
        <w:pStyle w:val="EndnoteText"/>
        <w:rPr>
          <w:rStyle w:val="EndnoteReference"/>
          <w:rFonts w:ascii="Calibri" w:eastAsiaTheme="majorEastAsia" w:hAnsi="Calibri" w:cs="Calibri"/>
        </w:rPr>
      </w:pPr>
      <w:r w:rsidRPr="007332FE">
        <w:rPr>
          <w:rStyle w:val="EndnoteReference"/>
          <w:rFonts w:ascii="Calibri" w:eastAsiaTheme="majorEastAsia" w:hAnsi="Calibri" w:cs="Calibri"/>
        </w:rPr>
        <w:endnoteRef/>
      </w:r>
      <w:r w:rsidRPr="007332FE">
        <w:rPr>
          <w:rStyle w:val="EndnoteReference"/>
          <w:rFonts w:ascii="Calibri" w:eastAsiaTheme="majorEastAsia" w:hAnsi="Calibri" w:cs="Calibri"/>
        </w:rPr>
        <w:t xml:space="preserve"> </w:t>
      </w:r>
      <w:r w:rsidR="00E85CF6" w:rsidRPr="007332FE">
        <w:rPr>
          <w:rFonts w:ascii="Calibri" w:hAnsi="Calibri" w:cs="Calibri"/>
        </w:rPr>
        <w:t>World Health Organization. Global status report on alcohol and health 2018.</w:t>
      </w:r>
      <w:r w:rsidR="005C5027" w:rsidRPr="007332FE">
        <w:rPr>
          <w:rFonts w:ascii="Calibri" w:hAnsi="Calibri" w:cs="Calibri"/>
        </w:rPr>
        <w:t xml:space="preserve"> </w:t>
      </w:r>
      <w:hyperlink r:id="rId8" w:history="1">
        <w:r w:rsidR="005C5027" w:rsidRPr="007332FE">
          <w:rPr>
            <w:rStyle w:val="Hyperlink"/>
            <w:rFonts w:ascii="Calibri" w:hAnsi="Calibri" w:cs="Calibri"/>
          </w:rPr>
          <w:t>https://www.who.int/publications/i/item/9789241565639</w:t>
        </w:r>
      </w:hyperlink>
      <w:r w:rsidR="00EE24D7" w:rsidRPr="007332FE">
        <w:rPr>
          <w:rFonts w:ascii="Calibri" w:hAnsi="Calibri" w:cs="Calibri"/>
        </w:rPr>
        <w:t xml:space="preserve">. </w:t>
      </w:r>
    </w:p>
  </w:endnote>
  <w:endnote w:id="12">
    <w:p w14:paraId="1BC40DA8" w14:textId="748AB706" w:rsidR="003B3CC8" w:rsidRPr="007332FE" w:rsidRDefault="003B3CC8" w:rsidP="00D62C10">
      <w:pPr>
        <w:pStyle w:val="EndnoteText"/>
        <w:rPr>
          <w:rStyle w:val="EndnoteReference"/>
          <w:rFonts w:ascii="Calibri" w:eastAsiaTheme="majorEastAsia" w:hAnsi="Calibri" w:cs="Calibri"/>
        </w:rPr>
      </w:pPr>
      <w:r w:rsidRPr="007332FE">
        <w:rPr>
          <w:rStyle w:val="EndnoteReference"/>
          <w:rFonts w:ascii="Calibri" w:eastAsiaTheme="majorEastAsia" w:hAnsi="Calibri" w:cs="Calibri"/>
        </w:rPr>
        <w:endnoteRef/>
      </w:r>
      <w:r w:rsidRPr="007332FE">
        <w:rPr>
          <w:rStyle w:val="EndnoteReference"/>
          <w:rFonts w:ascii="Calibri" w:eastAsiaTheme="majorEastAsia" w:hAnsi="Calibri" w:cs="Calibri"/>
          <w:lang w:val="fr-FR"/>
        </w:rPr>
        <w:t xml:space="preserve"> </w:t>
      </w:r>
      <w:r w:rsidRPr="007332FE">
        <w:rPr>
          <w:rFonts w:ascii="Calibri" w:hAnsi="Calibri" w:cs="Calibri"/>
          <w:lang w:val="fr-FR"/>
        </w:rPr>
        <w:t>Deckwart M, et al</w:t>
      </w:r>
      <w:r w:rsidR="00FD0144">
        <w:rPr>
          <w:rFonts w:ascii="Calibri" w:hAnsi="Calibri" w:cs="Calibri"/>
          <w:lang w:val="fr-FR"/>
        </w:rPr>
        <w:t>.</w:t>
      </w:r>
      <w:r w:rsidRPr="007332FE">
        <w:rPr>
          <w:rFonts w:ascii="Calibri" w:hAnsi="Calibri" w:cs="Calibri"/>
          <w:lang w:val="fr-FR"/>
        </w:rPr>
        <w:t xml:space="preserve"> 2014b. </w:t>
      </w:r>
      <w:r w:rsidRPr="007332FE">
        <w:rPr>
          <w:rFonts w:ascii="Calibri" w:hAnsi="Calibri" w:cs="Calibri"/>
        </w:rPr>
        <w:t xml:space="preserve">Impact of wine manufacturing practice on the occurrence of fining agents with allergenic potential. </w:t>
      </w:r>
      <w:r w:rsidRPr="009C6E4A">
        <w:rPr>
          <w:rFonts w:ascii="Calibri" w:hAnsi="Calibri" w:cs="Calibri"/>
          <w:i/>
          <w:iCs/>
        </w:rPr>
        <w:t>Food Addit Contam</w:t>
      </w:r>
      <w:r w:rsidRPr="007332FE">
        <w:rPr>
          <w:rFonts w:ascii="Calibri" w:hAnsi="Calibri" w:cs="Calibri"/>
        </w:rPr>
        <w:t xml:space="preserve"> A 31(11):1805–17.</w:t>
      </w:r>
      <w:r w:rsidRPr="007332FE">
        <w:rPr>
          <w:rStyle w:val="EndnoteReference"/>
          <w:rFonts w:ascii="Calibri" w:eastAsiaTheme="majorEastAsia" w:hAnsi="Calibri" w:cs="Calibri"/>
        </w:rPr>
        <w:t xml:space="preserve"> </w:t>
      </w:r>
      <w:r w:rsidR="00527142" w:rsidRPr="007332FE">
        <w:rPr>
          <w:rFonts w:ascii="Calibri" w:eastAsiaTheme="majorEastAsia" w:hAnsi="Calibri" w:cs="Calibri"/>
        </w:rPr>
        <w:t xml:space="preserve"> </w:t>
      </w:r>
      <w:r w:rsidR="0042372D" w:rsidRPr="007332FE">
        <w:rPr>
          <w:rFonts w:ascii="Calibri" w:hAnsi="Calibri" w:cs="Calibri"/>
          <w:color w:val="5B616B"/>
          <w:shd w:val="clear" w:color="auto" w:fill="FFFFFF"/>
        </w:rPr>
        <w:t xml:space="preserve">doi: 10.1080/19440049.2014.963700. </w:t>
      </w:r>
    </w:p>
  </w:endnote>
  <w:endnote w:id="13">
    <w:p w14:paraId="4B4CB9E0" w14:textId="5F5DA7DD" w:rsidR="003B3CC8" w:rsidRPr="007332FE" w:rsidRDefault="003B3CC8" w:rsidP="00BC14F8">
      <w:pPr>
        <w:pStyle w:val="EndnoteText"/>
        <w:rPr>
          <w:rFonts w:ascii="Calibri" w:hAnsi="Calibri" w:cs="Calibri"/>
        </w:rPr>
      </w:pPr>
      <w:r w:rsidRPr="007332FE">
        <w:rPr>
          <w:rStyle w:val="EndnoteReference"/>
          <w:rFonts w:ascii="Calibri" w:eastAsiaTheme="majorEastAsia" w:hAnsi="Calibri" w:cs="Calibri"/>
        </w:rPr>
        <w:endnoteRef/>
      </w:r>
      <w:r w:rsidRPr="007332FE">
        <w:rPr>
          <w:rStyle w:val="EndnoteReference"/>
          <w:rFonts w:ascii="Calibri" w:eastAsiaTheme="majorEastAsia" w:hAnsi="Calibri" w:cs="Calibri"/>
        </w:rPr>
        <w:t xml:space="preserve"> </w:t>
      </w:r>
      <w:r w:rsidRPr="007332FE">
        <w:rPr>
          <w:rFonts w:ascii="Calibri" w:hAnsi="Calibri" w:cs="Calibri"/>
        </w:rPr>
        <w:t>Uberti F, et al. 2014. Immunochemical investigation of allergenic residues in experimental and commercially‐available wines fined with egg white proteins</w:t>
      </w:r>
      <w:r w:rsidRPr="009C6E4A">
        <w:rPr>
          <w:rFonts w:ascii="Calibri" w:hAnsi="Calibri" w:cs="Calibri"/>
          <w:i/>
          <w:iCs/>
        </w:rPr>
        <w:t>. Food Chem</w:t>
      </w:r>
      <w:r w:rsidRPr="007332FE">
        <w:rPr>
          <w:rFonts w:ascii="Calibri" w:hAnsi="Calibri" w:cs="Calibri"/>
        </w:rPr>
        <w:t xml:space="preserve"> 159(0):343–52.</w:t>
      </w:r>
      <w:r w:rsidR="0042372D" w:rsidRPr="007332FE">
        <w:rPr>
          <w:rFonts w:ascii="Calibri" w:hAnsi="Calibri" w:cs="Calibri"/>
        </w:rPr>
        <w:t xml:space="preserve"> </w:t>
      </w:r>
      <w:r w:rsidR="00DD4172" w:rsidRPr="007332FE">
        <w:rPr>
          <w:rFonts w:ascii="Calibri" w:hAnsi="Calibri" w:cs="Calibri"/>
          <w:color w:val="5B616B"/>
          <w:shd w:val="clear" w:color="auto" w:fill="FFFFFF"/>
        </w:rPr>
        <w:t>d</w:t>
      </w:r>
      <w:r w:rsidR="0042372D" w:rsidRPr="007332FE">
        <w:rPr>
          <w:rFonts w:ascii="Calibri" w:hAnsi="Calibri" w:cs="Calibri"/>
          <w:color w:val="5B616B"/>
          <w:shd w:val="clear" w:color="auto" w:fill="FFFFFF"/>
        </w:rPr>
        <w:t>oi: 10.1016/j.foodchem.2014.03.025</w:t>
      </w:r>
      <w:r w:rsidR="00DD4172" w:rsidRPr="007332FE">
        <w:rPr>
          <w:rFonts w:ascii="Calibri" w:hAnsi="Calibri" w:cs="Calibri"/>
          <w:color w:val="5B616B"/>
          <w:shd w:val="clear" w:color="auto" w:fill="FFFFFF"/>
        </w:rPr>
        <w:t>.</w:t>
      </w:r>
    </w:p>
  </w:endnote>
  <w:endnote w:id="14">
    <w:p w14:paraId="5983AA07" w14:textId="214D171F" w:rsidR="003B3CC8" w:rsidRPr="007332FE" w:rsidRDefault="003B3CC8" w:rsidP="00BC14F8">
      <w:pPr>
        <w:pStyle w:val="EndnoteText"/>
        <w:rPr>
          <w:rFonts w:ascii="Calibri" w:hAnsi="Calibri" w:cs="Calibri"/>
        </w:rPr>
      </w:pPr>
      <w:r w:rsidRPr="007332FE">
        <w:rPr>
          <w:rStyle w:val="EndnoteReference"/>
          <w:rFonts w:ascii="Calibri" w:eastAsiaTheme="majorEastAsia" w:hAnsi="Calibri" w:cs="Calibri"/>
        </w:rPr>
        <w:endnoteRef/>
      </w:r>
      <w:r w:rsidRPr="007332FE">
        <w:rPr>
          <w:rStyle w:val="EndnoteReference"/>
          <w:rFonts w:ascii="Calibri" w:eastAsiaTheme="majorEastAsia" w:hAnsi="Calibri" w:cs="Calibri"/>
        </w:rPr>
        <w:t xml:space="preserve"> </w:t>
      </w:r>
      <w:r w:rsidRPr="007332FE">
        <w:rPr>
          <w:rFonts w:ascii="Calibri" w:hAnsi="Calibri" w:cs="Calibri"/>
        </w:rPr>
        <w:t xml:space="preserve">Stockley CS, et al. 2015. Adverse food reactions from consuming wine. </w:t>
      </w:r>
      <w:r w:rsidRPr="009C6E4A">
        <w:rPr>
          <w:rFonts w:ascii="Calibri" w:hAnsi="Calibri" w:cs="Calibri"/>
          <w:i/>
          <w:iCs/>
        </w:rPr>
        <w:t>Aust J Grape Wine Res</w:t>
      </w:r>
      <w:r w:rsidRPr="007332FE">
        <w:rPr>
          <w:rFonts w:ascii="Calibri" w:hAnsi="Calibri" w:cs="Calibri"/>
        </w:rPr>
        <w:t xml:space="preserve"> 21:568–81.</w:t>
      </w:r>
      <w:r w:rsidR="00DD4172" w:rsidRPr="007332FE">
        <w:rPr>
          <w:rFonts w:ascii="Calibri" w:hAnsi="Calibri" w:cs="Calibri"/>
        </w:rPr>
        <w:t xml:space="preserve"> </w:t>
      </w:r>
      <w:hyperlink r:id="rId9" w:history="1">
        <w:r w:rsidR="00DD4172" w:rsidRPr="007332FE">
          <w:rPr>
            <w:rStyle w:val="Hyperlink"/>
            <w:rFonts w:ascii="Calibri" w:hAnsi="Calibri" w:cs="Calibri"/>
            <w:shd w:val="clear" w:color="auto" w:fill="FFFFFF"/>
          </w:rPr>
          <w:t>doi: 10.1111/ajgw.12171</w:t>
        </w:r>
      </w:hyperlink>
      <w:r w:rsidR="00DD4172" w:rsidRPr="007332FE">
        <w:rPr>
          <w:rFonts w:ascii="Calibri" w:hAnsi="Calibri" w:cs="Calibri"/>
        </w:rPr>
        <w:t xml:space="preserve">. </w:t>
      </w:r>
    </w:p>
  </w:endnote>
  <w:endnote w:id="15">
    <w:p w14:paraId="2B1EBEB6" w14:textId="77777777" w:rsidR="003B3CC8" w:rsidRPr="007332FE" w:rsidRDefault="003B3CC8" w:rsidP="00BC14F8">
      <w:pPr>
        <w:pStyle w:val="EndnoteText"/>
        <w:rPr>
          <w:rFonts w:ascii="Calibri" w:hAnsi="Calibri" w:cs="Calibri"/>
        </w:rPr>
      </w:pPr>
      <w:r w:rsidRPr="007332FE">
        <w:rPr>
          <w:rStyle w:val="EndnoteReference"/>
          <w:rFonts w:ascii="Calibri" w:eastAsiaTheme="majorEastAsia" w:hAnsi="Calibri" w:cs="Calibri"/>
        </w:rPr>
        <w:endnoteRef/>
      </w:r>
      <w:r w:rsidRPr="007332FE">
        <w:rPr>
          <w:rFonts w:ascii="Calibri" w:hAnsi="Calibri" w:cs="Calibri"/>
        </w:rPr>
        <w:t xml:space="preserve"> H.R. Rep. No. 608, 108th Cong., 2d Sess., at 3 (2004)</w:t>
      </w:r>
    </w:p>
  </w:endnote>
  <w:endnote w:id="16">
    <w:p w14:paraId="6B8AD8DB" w14:textId="3690A1EB" w:rsidR="00561BEB" w:rsidRPr="007332FE" w:rsidRDefault="00561BEB">
      <w:pPr>
        <w:pStyle w:val="EndnoteText"/>
        <w:rPr>
          <w:rFonts w:ascii="Calibri" w:hAnsi="Calibri" w:cs="Calibri"/>
        </w:rPr>
      </w:pPr>
      <w:r w:rsidRPr="007332FE">
        <w:rPr>
          <w:rStyle w:val="EndnoteReference"/>
          <w:rFonts w:ascii="Calibri" w:hAnsi="Calibri" w:cs="Calibri"/>
        </w:rPr>
        <w:endnoteRef/>
      </w:r>
      <w:r w:rsidRPr="007332FE">
        <w:rPr>
          <w:rFonts w:ascii="Calibri" w:hAnsi="Calibri" w:cs="Calibri"/>
        </w:rPr>
        <w:t xml:space="preserve"> Greenthal E &amp; Sorscher S. Implementation of Voluntary Nutrition Labeling Policies on Wine and Beer Sold in the United States. </w:t>
      </w:r>
      <w:r w:rsidRPr="007332FE">
        <w:rPr>
          <w:rFonts w:ascii="Calibri" w:hAnsi="Calibri" w:cs="Calibri"/>
          <w:i/>
          <w:iCs/>
        </w:rPr>
        <w:t xml:space="preserve">Curr Dev Nutr. </w:t>
      </w:r>
      <w:r w:rsidR="00376B1B" w:rsidRPr="007332FE">
        <w:rPr>
          <w:rFonts w:ascii="Calibri" w:hAnsi="Calibri" w:cs="Calibri"/>
        </w:rPr>
        <w:t xml:space="preserve">2023. 7;Supplement 1:101654. </w:t>
      </w:r>
      <w:r w:rsidR="00504B86" w:rsidRPr="007332FE">
        <w:rPr>
          <w:rFonts w:ascii="Calibri" w:hAnsi="Calibri" w:cs="Calibri"/>
        </w:rPr>
        <w:t>Doi: 10.1016/j.cdnut.2023.101654.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B989" w14:textId="77777777" w:rsidR="00161F34" w:rsidRDefault="00161F34" w:rsidP="00125286">
      <w:pPr>
        <w:spacing w:after="0" w:line="240" w:lineRule="auto"/>
      </w:pPr>
      <w:r>
        <w:separator/>
      </w:r>
    </w:p>
  </w:footnote>
  <w:footnote w:type="continuationSeparator" w:id="0">
    <w:p w14:paraId="21025A4E" w14:textId="77777777" w:rsidR="00161F34" w:rsidRDefault="00161F34" w:rsidP="0012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80B2" w14:textId="4A01ECCC" w:rsidR="001679C3" w:rsidRDefault="008F548F">
    <w:pPr>
      <w:pStyle w:val="Header"/>
    </w:pPr>
    <w:r>
      <w:rPr>
        <w:noProof/>
      </w:rPr>
      <w:drawing>
        <wp:anchor distT="0" distB="0" distL="114300" distR="114300" simplePos="0" relativeHeight="251660288" behindDoc="0" locked="0" layoutInCell="1" allowOverlap="1" wp14:anchorId="5829AA2F" wp14:editId="47D2C202">
          <wp:simplePos x="0" y="0"/>
          <wp:positionH relativeFrom="column">
            <wp:posOffset>-426720</wp:posOffset>
          </wp:positionH>
          <wp:positionV relativeFrom="paragraph">
            <wp:posOffset>-271780</wp:posOffset>
          </wp:positionV>
          <wp:extent cx="1874520" cy="591820"/>
          <wp:effectExtent l="0" t="0" r="0" b="0"/>
          <wp:wrapSquare wrapText="bothSides"/>
          <wp:docPr id="179816392" name="Picture 6" descr="Asthma and Allergy Foundation of America | AAF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hma and Allergy Foundation of America | AAFA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12A93A0" wp14:editId="2756398E">
              <wp:simplePos x="0" y="0"/>
              <wp:positionH relativeFrom="column">
                <wp:posOffset>-670560</wp:posOffset>
              </wp:positionH>
              <wp:positionV relativeFrom="paragraph">
                <wp:posOffset>434340</wp:posOffset>
              </wp:positionV>
              <wp:extent cx="7741920" cy="0"/>
              <wp:effectExtent l="0" t="0" r="0" b="0"/>
              <wp:wrapNone/>
              <wp:docPr id="734314397"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96A7C6"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pt,34.2pt" to="556.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" strokecolor="#156082 [3204]" strokeweight=".5pt">
              <v:stroke joinstyle="miter"/>
            </v:line>
          </w:pict>
        </mc:Fallback>
      </mc:AlternateContent>
    </w:r>
    <w:r>
      <w:rPr>
        <w:noProof/>
      </w:rPr>
      <w:drawing>
        <wp:anchor distT="0" distB="0" distL="114300" distR="114300" simplePos="0" relativeHeight="251658240" behindDoc="0" locked="0" layoutInCell="1" allowOverlap="1" wp14:anchorId="42F4A844" wp14:editId="3D509236">
          <wp:simplePos x="0" y="0"/>
          <wp:positionH relativeFrom="column">
            <wp:posOffset>1592580</wp:posOffset>
          </wp:positionH>
          <wp:positionV relativeFrom="paragraph">
            <wp:posOffset>-205740</wp:posOffset>
          </wp:positionV>
          <wp:extent cx="1310640" cy="420370"/>
          <wp:effectExtent l="0" t="0" r="3810" b="0"/>
          <wp:wrapSquare wrapText="bothSides"/>
          <wp:docPr id="812058126" name="Picture 3" descr="Center for Science in the Public Interes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er for Science in the Public Interest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97BA77" wp14:editId="60D04A3F">
          <wp:simplePos x="0" y="0"/>
          <wp:positionH relativeFrom="column">
            <wp:posOffset>3273425</wp:posOffset>
          </wp:positionH>
          <wp:positionV relativeFrom="paragraph">
            <wp:posOffset>-297180</wp:posOffset>
          </wp:positionV>
          <wp:extent cx="617220" cy="617220"/>
          <wp:effectExtent l="0" t="0" r="0" b="0"/>
          <wp:wrapSquare wrapText="bothSides"/>
          <wp:docPr id="1644398146" name="Picture 2" descr="Consumer Federation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 Federation of Ameri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4E06D7E" wp14:editId="3F9C3BD7">
          <wp:simplePos x="0" y="0"/>
          <wp:positionH relativeFrom="column">
            <wp:posOffset>5814060</wp:posOffset>
          </wp:positionH>
          <wp:positionV relativeFrom="paragraph">
            <wp:posOffset>-220980</wp:posOffset>
          </wp:positionV>
          <wp:extent cx="853440" cy="496570"/>
          <wp:effectExtent l="0" t="0" r="3810" b="0"/>
          <wp:wrapSquare wrapText="bothSides"/>
          <wp:docPr id="2132164451" name="Picture 5" descr="National Consumers League releases report examining sustainability, consumer  choice, and confusion in food and beverage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Consumers League releases report examining sustainability, consumer  choice, and confusion in food and beverage packaging"/>
                  <pic:cNvPicPr>
                    <a:picLocks noChangeAspect="1" noChangeArrowheads="1"/>
                  </pic:cNvPicPr>
                </pic:nvPicPr>
                <pic:blipFill rotWithShape="1">
                  <a:blip r:embed="rId4">
                    <a:extLst>
                      <a:ext uri="{28A0092B-C50C-407E-A947-70E740481C1C}">
                        <a14:useLocalDpi xmlns:a14="http://schemas.microsoft.com/office/drawing/2010/main" val="0"/>
                      </a:ext>
                    </a:extLst>
                  </a:blip>
                  <a:srcRect l="22347" b="13541"/>
                  <a:stretch/>
                </pic:blipFill>
                <pic:spPr bwMode="auto">
                  <a:xfrm>
                    <a:off x="0" y="0"/>
                    <a:ext cx="853440" cy="496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79C3">
      <w:rPr>
        <w:noProof/>
      </w:rPr>
      <w:drawing>
        <wp:anchor distT="0" distB="0" distL="114300" distR="114300" simplePos="0" relativeHeight="251661312" behindDoc="0" locked="0" layoutInCell="1" allowOverlap="1" wp14:anchorId="76C21BC9" wp14:editId="66F88D59">
          <wp:simplePos x="0" y="0"/>
          <wp:positionH relativeFrom="column">
            <wp:posOffset>4084320</wp:posOffset>
          </wp:positionH>
          <wp:positionV relativeFrom="paragraph">
            <wp:posOffset>-205740</wp:posOffset>
          </wp:positionV>
          <wp:extent cx="1531620" cy="473075"/>
          <wp:effectExtent l="0" t="0" r="0" b="3175"/>
          <wp:wrapSquare wrapText="bothSides"/>
          <wp:docPr id="1929751374" name="Picture 1" descr="Homepage - FoodAllerg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 - FoodAllergy.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473075"/>
                  </a:xfrm>
                  <a:prstGeom prst="rect">
                    <a:avLst/>
                  </a:prstGeom>
                  <a:noFill/>
                  <a:ln>
                    <a:noFill/>
                  </a:ln>
                </pic:spPr>
              </pic:pic>
            </a:graphicData>
          </a:graphic>
        </wp:anchor>
      </w:drawing>
    </w:r>
    <w:r w:rsidR="001679C3">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47B"/>
    <w:multiLevelType w:val="hybridMultilevel"/>
    <w:tmpl w:val="E14E1346"/>
    <w:lvl w:ilvl="0" w:tplc="BB203468">
      <w:start w:val="1"/>
      <w:numFmt w:val="bullet"/>
      <w:lvlText w:val="•"/>
      <w:lvlJc w:val="left"/>
      <w:pPr>
        <w:tabs>
          <w:tab w:val="num" w:pos="720"/>
        </w:tabs>
        <w:ind w:left="720" w:hanging="360"/>
      </w:pPr>
      <w:rPr>
        <w:rFonts w:ascii="Arial" w:hAnsi="Arial" w:hint="default"/>
      </w:rPr>
    </w:lvl>
    <w:lvl w:ilvl="1" w:tplc="E87C6CAE" w:tentative="1">
      <w:start w:val="1"/>
      <w:numFmt w:val="bullet"/>
      <w:lvlText w:val="•"/>
      <w:lvlJc w:val="left"/>
      <w:pPr>
        <w:tabs>
          <w:tab w:val="num" w:pos="1440"/>
        </w:tabs>
        <w:ind w:left="1440" w:hanging="360"/>
      </w:pPr>
      <w:rPr>
        <w:rFonts w:ascii="Arial" w:hAnsi="Arial" w:hint="default"/>
      </w:rPr>
    </w:lvl>
    <w:lvl w:ilvl="2" w:tplc="D3001D12" w:tentative="1">
      <w:start w:val="1"/>
      <w:numFmt w:val="bullet"/>
      <w:lvlText w:val="•"/>
      <w:lvlJc w:val="left"/>
      <w:pPr>
        <w:tabs>
          <w:tab w:val="num" w:pos="2160"/>
        </w:tabs>
        <w:ind w:left="2160" w:hanging="360"/>
      </w:pPr>
      <w:rPr>
        <w:rFonts w:ascii="Arial" w:hAnsi="Arial" w:hint="default"/>
      </w:rPr>
    </w:lvl>
    <w:lvl w:ilvl="3" w:tplc="B4DE40A0" w:tentative="1">
      <w:start w:val="1"/>
      <w:numFmt w:val="bullet"/>
      <w:lvlText w:val="•"/>
      <w:lvlJc w:val="left"/>
      <w:pPr>
        <w:tabs>
          <w:tab w:val="num" w:pos="2880"/>
        </w:tabs>
        <w:ind w:left="2880" w:hanging="360"/>
      </w:pPr>
      <w:rPr>
        <w:rFonts w:ascii="Arial" w:hAnsi="Arial" w:hint="default"/>
      </w:rPr>
    </w:lvl>
    <w:lvl w:ilvl="4" w:tplc="BABE9114" w:tentative="1">
      <w:start w:val="1"/>
      <w:numFmt w:val="bullet"/>
      <w:lvlText w:val="•"/>
      <w:lvlJc w:val="left"/>
      <w:pPr>
        <w:tabs>
          <w:tab w:val="num" w:pos="3600"/>
        </w:tabs>
        <w:ind w:left="3600" w:hanging="360"/>
      </w:pPr>
      <w:rPr>
        <w:rFonts w:ascii="Arial" w:hAnsi="Arial" w:hint="default"/>
      </w:rPr>
    </w:lvl>
    <w:lvl w:ilvl="5" w:tplc="1D826628" w:tentative="1">
      <w:start w:val="1"/>
      <w:numFmt w:val="bullet"/>
      <w:lvlText w:val="•"/>
      <w:lvlJc w:val="left"/>
      <w:pPr>
        <w:tabs>
          <w:tab w:val="num" w:pos="4320"/>
        </w:tabs>
        <w:ind w:left="4320" w:hanging="360"/>
      </w:pPr>
      <w:rPr>
        <w:rFonts w:ascii="Arial" w:hAnsi="Arial" w:hint="default"/>
      </w:rPr>
    </w:lvl>
    <w:lvl w:ilvl="6" w:tplc="966E6B0E" w:tentative="1">
      <w:start w:val="1"/>
      <w:numFmt w:val="bullet"/>
      <w:lvlText w:val="•"/>
      <w:lvlJc w:val="left"/>
      <w:pPr>
        <w:tabs>
          <w:tab w:val="num" w:pos="5040"/>
        </w:tabs>
        <w:ind w:left="5040" w:hanging="360"/>
      </w:pPr>
      <w:rPr>
        <w:rFonts w:ascii="Arial" w:hAnsi="Arial" w:hint="default"/>
      </w:rPr>
    </w:lvl>
    <w:lvl w:ilvl="7" w:tplc="8ED87CE0" w:tentative="1">
      <w:start w:val="1"/>
      <w:numFmt w:val="bullet"/>
      <w:lvlText w:val="•"/>
      <w:lvlJc w:val="left"/>
      <w:pPr>
        <w:tabs>
          <w:tab w:val="num" w:pos="5760"/>
        </w:tabs>
        <w:ind w:left="5760" w:hanging="360"/>
      </w:pPr>
      <w:rPr>
        <w:rFonts w:ascii="Arial" w:hAnsi="Arial" w:hint="default"/>
      </w:rPr>
    </w:lvl>
    <w:lvl w:ilvl="8" w:tplc="F99EE0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B8622B"/>
    <w:multiLevelType w:val="hybridMultilevel"/>
    <w:tmpl w:val="923202B4"/>
    <w:lvl w:ilvl="0" w:tplc="2CBCAB96">
      <w:start w:val="1"/>
      <w:numFmt w:val="bullet"/>
      <w:lvlText w:val="•"/>
      <w:lvlJc w:val="left"/>
      <w:pPr>
        <w:tabs>
          <w:tab w:val="num" w:pos="720"/>
        </w:tabs>
        <w:ind w:left="720" w:hanging="360"/>
      </w:pPr>
      <w:rPr>
        <w:rFonts w:ascii="Arial" w:hAnsi="Arial" w:hint="default"/>
      </w:rPr>
    </w:lvl>
    <w:lvl w:ilvl="1" w:tplc="1B249080" w:tentative="1">
      <w:start w:val="1"/>
      <w:numFmt w:val="bullet"/>
      <w:lvlText w:val="•"/>
      <w:lvlJc w:val="left"/>
      <w:pPr>
        <w:tabs>
          <w:tab w:val="num" w:pos="1440"/>
        </w:tabs>
        <w:ind w:left="1440" w:hanging="360"/>
      </w:pPr>
      <w:rPr>
        <w:rFonts w:ascii="Arial" w:hAnsi="Arial" w:hint="default"/>
      </w:rPr>
    </w:lvl>
    <w:lvl w:ilvl="2" w:tplc="0FCC48F8" w:tentative="1">
      <w:start w:val="1"/>
      <w:numFmt w:val="bullet"/>
      <w:lvlText w:val="•"/>
      <w:lvlJc w:val="left"/>
      <w:pPr>
        <w:tabs>
          <w:tab w:val="num" w:pos="2160"/>
        </w:tabs>
        <w:ind w:left="2160" w:hanging="360"/>
      </w:pPr>
      <w:rPr>
        <w:rFonts w:ascii="Arial" w:hAnsi="Arial" w:hint="default"/>
      </w:rPr>
    </w:lvl>
    <w:lvl w:ilvl="3" w:tplc="AF504336" w:tentative="1">
      <w:start w:val="1"/>
      <w:numFmt w:val="bullet"/>
      <w:lvlText w:val="•"/>
      <w:lvlJc w:val="left"/>
      <w:pPr>
        <w:tabs>
          <w:tab w:val="num" w:pos="2880"/>
        </w:tabs>
        <w:ind w:left="2880" w:hanging="360"/>
      </w:pPr>
      <w:rPr>
        <w:rFonts w:ascii="Arial" w:hAnsi="Arial" w:hint="default"/>
      </w:rPr>
    </w:lvl>
    <w:lvl w:ilvl="4" w:tplc="03F2A926" w:tentative="1">
      <w:start w:val="1"/>
      <w:numFmt w:val="bullet"/>
      <w:lvlText w:val="•"/>
      <w:lvlJc w:val="left"/>
      <w:pPr>
        <w:tabs>
          <w:tab w:val="num" w:pos="3600"/>
        </w:tabs>
        <w:ind w:left="3600" w:hanging="360"/>
      </w:pPr>
      <w:rPr>
        <w:rFonts w:ascii="Arial" w:hAnsi="Arial" w:hint="default"/>
      </w:rPr>
    </w:lvl>
    <w:lvl w:ilvl="5" w:tplc="A6209354" w:tentative="1">
      <w:start w:val="1"/>
      <w:numFmt w:val="bullet"/>
      <w:lvlText w:val="•"/>
      <w:lvlJc w:val="left"/>
      <w:pPr>
        <w:tabs>
          <w:tab w:val="num" w:pos="4320"/>
        </w:tabs>
        <w:ind w:left="4320" w:hanging="360"/>
      </w:pPr>
      <w:rPr>
        <w:rFonts w:ascii="Arial" w:hAnsi="Arial" w:hint="default"/>
      </w:rPr>
    </w:lvl>
    <w:lvl w:ilvl="6" w:tplc="9886FA18" w:tentative="1">
      <w:start w:val="1"/>
      <w:numFmt w:val="bullet"/>
      <w:lvlText w:val="•"/>
      <w:lvlJc w:val="left"/>
      <w:pPr>
        <w:tabs>
          <w:tab w:val="num" w:pos="5040"/>
        </w:tabs>
        <w:ind w:left="5040" w:hanging="360"/>
      </w:pPr>
      <w:rPr>
        <w:rFonts w:ascii="Arial" w:hAnsi="Arial" w:hint="default"/>
      </w:rPr>
    </w:lvl>
    <w:lvl w:ilvl="7" w:tplc="2E9C9B3A" w:tentative="1">
      <w:start w:val="1"/>
      <w:numFmt w:val="bullet"/>
      <w:lvlText w:val="•"/>
      <w:lvlJc w:val="left"/>
      <w:pPr>
        <w:tabs>
          <w:tab w:val="num" w:pos="5760"/>
        </w:tabs>
        <w:ind w:left="5760" w:hanging="360"/>
      </w:pPr>
      <w:rPr>
        <w:rFonts w:ascii="Arial" w:hAnsi="Arial" w:hint="default"/>
      </w:rPr>
    </w:lvl>
    <w:lvl w:ilvl="8" w:tplc="A06267CA" w:tentative="1">
      <w:start w:val="1"/>
      <w:numFmt w:val="bullet"/>
      <w:lvlText w:val="•"/>
      <w:lvlJc w:val="left"/>
      <w:pPr>
        <w:tabs>
          <w:tab w:val="num" w:pos="6480"/>
        </w:tabs>
        <w:ind w:left="6480" w:hanging="360"/>
      </w:pPr>
      <w:rPr>
        <w:rFonts w:ascii="Arial" w:hAnsi="Arial" w:hint="default"/>
      </w:rPr>
    </w:lvl>
  </w:abstractNum>
  <w:num w:numId="1" w16cid:durableId="436484059">
    <w:abstractNumId w:val="0"/>
  </w:num>
  <w:num w:numId="2" w16cid:durableId="18818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2"/>
    <w:rsid w:val="000166FD"/>
    <w:rsid w:val="00020466"/>
    <w:rsid w:val="00030727"/>
    <w:rsid w:val="00033A7C"/>
    <w:rsid w:val="0003422B"/>
    <w:rsid w:val="0003444D"/>
    <w:rsid w:val="00036DBE"/>
    <w:rsid w:val="00044888"/>
    <w:rsid w:val="00046B09"/>
    <w:rsid w:val="00063DA1"/>
    <w:rsid w:val="000753F7"/>
    <w:rsid w:val="0008151A"/>
    <w:rsid w:val="0008195E"/>
    <w:rsid w:val="000A6204"/>
    <w:rsid w:val="000A6598"/>
    <w:rsid w:val="000B0DDF"/>
    <w:rsid w:val="000B4108"/>
    <w:rsid w:val="000C2D5C"/>
    <w:rsid w:val="000E7C47"/>
    <w:rsid w:val="000F4160"/>
    <w:rsid w:val="00103420"/>
    <w:rsid w:val="001118B7"/>
    <w:rsid w:val="0011228E"/>
    <w:rsid w:val="00120437"/>
    <w:rsid w:val="00125286"/>
    <w:rsid w:val="00127982"/>
    <w:rsid w:val="00145555"/>
    <w:rsid w:val="00147E94"/>
    <w:rsid w:val="001579B2"/>
    <w:rsid w:val="00161F34"/>
    <w:rsid w:val="001679C3"/>
    <w:rsid w:val="00171EB0"/>
    <w:rsid w:val="00173A8E"/>
    <w:rsid w:val="00176564"/>
    <w:rsid w:val="00181DC2"/>
    <w:rsid w:val="001A0948"/>
    <w:rsid w:val="001C55F6"/>
    <w:rsid w:val="001C7335"/>
    <w:rsid w:val="001C7A1E"/>
    <w:rsid w:val="001E6F7B"/>
    <w:rsid w:val="00222EA0"/>
    <w:rsid w:val="00232381"/>
    <w:rsid w:val="002467E8"/>
    <w:rsid w:val="00257A54"/>
    <w:rsid w:val="002616C3"/>
    <w:rsid w:val="0026392E"/>
    <w:rsid w:val="00265C3C"/>
    <w:rsid w:val="00273CCA"/>
    <w:rsid w:val="00286358"/>
    <w:rsid w:val="00290138"/>
    <w:rsid w:val="002903D7"/>
    <w:rsid w:val="00295121"/>
    <w:rsid w:val="002971BB"/>
    <w:rsid w:val="002A25E1"/>
    <w:rsid w:val="002A5BEA"/>
    <w:rsid w:val="002B6E35"/>
    <w:rsid w:val="002C7E91"/>
    <w:rsid w:val="002D2AC8"/>
    <w:rsid w:val="002E59BF"/>
    <w:rsid w:val="0030362D"/>
    <w:rsid w:val="00303DD6"/>
    <w:rsid w:val="00304907"/>
    <w:rsid w:val="003120C8"/>
    <w:rsid w:val="00352D76"/>
    <w:rsid w:val="003572AF"/>
    <w:rsid w:val="003607A8"/>
    <w:rsid w:val="00376B1B"/>
    <w:rsid w:val="00377506"/>
    <w:rsid w:val="00383BDB"/>
    <w:rsid w:val="00385467"/>
    <w:rsid w:val="003A35FE"/>
    <w:rsid w:val="003A555A"/>
    <w:rsid w:val="003B3CC8"/>
    <w:rsid w:val="003B4296"/>
    <w:rsid w:val="003C1CB4"/>
    <w:rsid w:val="003C400F"/>
    <w:rsid w:val="003F58FC"/>
    <w:rsid w:val="00402FDC"/>
    <w:rsid w:val="0041019D"/>
    <w:rsid w:val="00420F6A"/>
    <w:rsid w:val="00422F54"/>
    <w:rsid w:val="0042372D"/>
    <w:rsid w:val="004248D9"/>
    <w:rsid w:val="00424C6C"/>
    <w:rsid w:val="00427FCE"/>
    <w:rsid w:val="00430172"/>
    <w:rsid w:val="00432737"/>
    <w:rsid w:val="004558EE"/>
    <w:rsid w:val="00463A40"/>
    <w:rsid w:val="00464E07"/>
    <w:rsid w:val="0047300E"/>
    <w:rsid w:val="00475F08"/>
    <w:rsid w:val="00496437"/>
    <w:rsid w:val="004A7D18"/>
    <w:rsid w:val="004B4162"/>
    <w:rsid w:val="004C32B2"/>
    <w:rsid w:val="004C3AB9"/>
    <w:rsid w:val="004D6010"/>
    <w:rsid w:val="004E07B2"/>
    <w:rsid w:val="004E1D2F"/>
    <w:rsid w:val="004F180F"/>
    <w:rsid w:val="00500F06"/>
    <w:rsid w:val="00504B86"/>
    <w:rsid w:val="0051405B"/>
    <w:rsid w:val="005208B1"/>
    <w:rsid w:val="00527142"/>
    <w:rsid w:val="00532397"/>
    <w:rsid w:val="00533D45"/>
    <w:rsid w:val="005451F6"/>
    <w:rsid w:val="00547117"/>
    <w:rsid w:val="00550023"/>
    <w:rsid w:val="00555B7B"/>
    <w:rsid w:val="00561BEB"/>
    <w:rsid w:val="00567A60"/>
    <w:rsid w:val="00586AF2"/>
    <w:rsid w:val="005911EE"/>
    <w:rsid w:val="005975BB"/>
    <w:rsid w:val="005A192B"/>
    <w:rsid w:val="005C5027"/>
    <w:rsid w:val="005F62A9"/>
    <w:rsid w:val="00603209"/>
    <w:rsid w:val="006100B4"/>
    <w:rsid w:val="00612C46"/>
    <w:rsid w:val="00636D09"/>
    <w:rsid w:val="0066058C"/>
    <w:rsid w:val="00682652"/>
    <w:rsid w:val="00694BB5"/>
    <w:rsid w:val="006A33BC"/>
    <w:rsid w:val="006B2FAC"/>
    <w:rsid w:val="006B79B3"/>
    <w:rsid w:val="006C2BB3"/>
    <w:rsid w:val="006C433B"/>
    <w:rsid w:val="006F321B"/>
    <w:rsid w:val="00702C1E"/>
    <w:rsid w:val="007332FE"/>
    <w:rsid w:val="007475F6"/>
    <w:rsid w:val="0075012F"/>
    <w:rsid w:val="00767AAC"/>
    <w:rsid w:val="007729EC"/>
    <w:rsid w:val="0078777C"/>
    <w:rsid w:val="007A31FD"/>
    <w:rsid w:val="007B6873"/>
    <w:rsid w:val="007D0283"/>
    <w:rsid w:val="00801A89"/>
    <w:rsid w:val="0081337A"/>
    <w:rsid w:val="00826496"/>
    <w:rsid w:val="00847110"/>
    <w:rsid w:val="008517DD"/>
    <w:rsid w:val="00895751"/>
    <w:rsid w:val="00897DB0"/>
    <w:rsid w:val="008A6BAD"/>
    <w:rsid w:val="008D1574"/>
    <w:rsid w:val="008F548F"/>
    <w:rsid w:val="009052F3"/>
    <w:rsid w:val="009061F1"/>
    <w:rsid w:val="00913FAB"/>
    <w:rsid w:val="00914347"/>
    <w:rsid w:val="00927633"/>
    <w:rsid w:val="00936AB7"/>
    <w:rsid w:val="009430BE"/>
    <w:rsid w:val="00956ACA"/>
    <w:rsid w:val="009618AB"/>
    <w:rsid w:val="00963AD9"/>
    <w:rsid w:val="00973D4B"/>
    <w:rsid w:val="00986D7E"/>
    <w:rsid w:val="00997F9D"/>
    <w:rsid w:val="009A2219"/>
    <w:rsid w:val="009B629C"/>
    <w:rsid w:val="009C6E4A"/>
    <w:rsid w:val="009D1132"/>
    <w:rsid w:val="009E441A"/>
    <w:rsid w:val="00A17A01"/>
    <w:rsid w:val="00A4364A"/>
    <w:rsid w:val="00A911B5"/>
    <w:rsid w:val="00A97D3C"/>
    <w:rsid w:val="00AA0B34"/>
    <w:rsid w:val="00AA5AA8"/>
    <w:rsid w:val="00AB03EA"/>
    <w:rsid w:val="00AC6021"/>
    <w:rsid w:val="00AE126F"/>
    <w:rsid w:val="00AF0724"/>
    <w:rsid w:val="00AF533E"/>
    <w:rsid w:val="00AF6264"/>
    <w:rsid w:val="00AF74DB"/>
    <w:rsid w:val="00B03D81"/>
    <w:rsid w:val="00B042DD"/>
    <w:rsid w:val="00B105D4"/>
    <w:rsid w:val="00B17CBF"/>
    <w:rsid w:val="00B30755"/>
    <w:rsid w:val="00B371FF"/>
    <w:rsid w:val="00B43378"/>
    <w:rsid w:val="00B517A7"/>
    <w:rsid w:val="00B613ED"/>
    <w:rsid w:val="00B73870"/>
    <w:rsid w:val="00B73A95"/>
    <w:rsid w:val="00B77E2F"/>
    <w:rsid w:val="00B82481"/>
    <w:rsid w:val="00B843F5"/>
    <w:rsid w:val="00B91E5E"/>
    <w:rsid w:val="00BA6E33"/>
    <w:rsid w:val="00BB5DD0"/>
    <w:rsid w:val="00BC14F8"/>
    <w:rsid w:val="00BC468F"/>
    <w:rsid w:val="00BD1C55"/>
    <w:rsid w:val="00BD2E31"/>
    <w:rsid w:val="00BD4FC8"/>
    <w:rsid w:val="00BE6917"/>
    <w:rsid w:val="00BE7862"/>
    <w:rsid w:val="00BF33E1"/>
    <w:rsid w:val="00C13FB8"/>
    <w:rsid w:val="00C171EE"/>
    <w:rsid w:val="00C3069D"/>
    <w:rsid w:val="00C40C1C"/>
    <w:rsid w:val="00C41F26"/>
    <w:rsid w:val="00C436E8"/>
    <w:rsid w:val="00C445AD"/>
    <w:rsid w:val="00C51471"/>
    <w:rsid w:val="00C74AFB"/>
    <w:rsid w:val="00C82B36"/>
    <w:rsid w:val="00C939DF"/>
    <w:rsid w:val="00CB076F"/>
    <w:rsid w:val="00CB6E6C"/>
    <w:rsid w:val="00CC31CB"/>
    <w:rsid w:val="00CC5455"/>
    <w:rsid w:val="00CC6127"/>
    <w:rsid w:val="00CE13F3"/>
    <w:rsid w:val="00CE1BA3"/>
    <w:rsid w:val="00CE21AD"/>
    <w:rsid w:val="00CE2C7E"/>
    <w:rsid w:val="00CE3037"/>
    <w:rsid w:val="00D04B72"/>
    <w:rsid w:val="00D367A2"/>
    <w:rsid w:val="00D44D98"/>
    <w:rsid w:val="00D56D10"/>
    <w:rsid w:val="00D62C10"/>
    <w:rsid w:val="00D66247"/>
    <w:rsid w:val="00D97F7E"/>
    <w:rsid w:val="00DA2D5E"/>
    <w:rsid w:val="00DA4E3C"/>
    <w:rsid w:val="00DC35FA"/>
    <w:rsid w:val="00DD4172"/>
    <w:rsid w:val="00E33444"/>
    <w:rsid w:val="00E403D9"/>
    <w:rsid w:val="00E52313"/>
    <w:rsid w:val="00E80BE4"/>
    <w:rsid w:val="00E85CF6"/>
    <w:rsid w:val="00E8661D"/>
    <w:rsid w:val="00E94E99"/>
    <w:rsid w:val="00EB62E6"/>
    <w:rsid w:val="00ED2019"/>
    <w:rsid w:val="00ED205B"/>
    <w:rsid w:val="00EE24D7"/>
    <w:rsid w:val="00EF4785"/>
    <w:rsid w:val="00F04A0D"/>
    <w:rsid w:val="00F06330"/>
    <w:rsid w:val="00F07294"/>
    <w:rsid w:val="00F07EB8"/>
    <w:rsid w:val="00F11765"/>
    <w:rsid w:val="00F13C85"/>
    <w:rsid w:val="00F52F39"/>
    <w:rsid w:val="00F57218"/>
    <w:rsid w:val="00F57769"/>
    <w:rsid w:val="00F72149"/>
    <w:rsid w:val="00F7661D"/>
    <w:rsid w:val="00FA5484"/>
    <w:rsid w:val="00FA6681"/>
    <w:rsid w:val="00FB40C7"/>
    <w:rsid w:val="00FC3EF4"/>
    <w:rsid w:val="00FD0144"/>
    <w:rsid w:val="00F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50783"/>
  <w15:chartTrackingRefBased/>
  <w15:docId w15:val="{918C6EBB-F709-4806-A3F1-D3C3CB5D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9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79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79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79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79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79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79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79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79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9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9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9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9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9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9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9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9B2"/>
    <w:rPr>
      <w:rFonts w:eastAsiaTheme="majorEastAsia" w:cstheme="majorBidi"/>
      <w:color w:val="272727" w:themeColor="text1" w:themeTint="D8"/>
    </w:rPr>
  </w:style>
  <w:style w:type="paragraph" w:styleId="Title">
    <w:name w:val="Title"/>
    <w:basedOn w:val="Normal"/>
    <w:next w:val="Normal"/>
    <w:link w:val="TitleChar"/>
    <w:uiPriority w:val="10"/>
    <w:qFormat/>
    <w:rsid w:val="001579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9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9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79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9B2"/>
    <w:pPr>
      <w:spacing w:before="160"/>
      <w:jc w:val="center"/>
    </w:pPr>
    <w:rPr>
      <w:i/>
      <w:iCs/>
      <w:color w:val="404040" w:themeColor="text1" w:themeTint="BF"/>
    </w:rPr>
  </w:style>
  <w:style w:type="character" w:customStyle="1" w:styleId="QuoteChar">
    <w:name w:val="Quote Char"/>
    <w:basedOn w:val="DefaultParagraphFont"/>
    <w:link w:val="Quote"/>
    <w:uiPriority w:val="29"/>
    <w:rsid w:val="001579B2"/>
    <w:rPr>
      <w:i/>
      <w:iCs/>
      <w:color w:val="404040" w:themeColor="text1" w:themeTint="BF"/>
    </w:rPr>
  </w:style>
  <w:style w:type="paragraph" w:styleId="ListParagraph">
    <w:name w:val="List Paragraph"/>
    <w:basedOn w:val="Normal"/>
    <w:uiPriority w:val="34"/>
    <w:qFormat/>
    <w:rsid w:val="001579B2"/>
    <w:pPr>
      <w:ind w:left="720"/>
      <w:contextualSpacing/>
    </w:pPr>
  </w:style>
  <w:style w:type="character" w:styleId="IntenseEmphasis">
    <w:name w:val="Intense Emphasis"/>
    <w:basedOn w:val="DefaultParagraphFont"/>
    <w:uiPriority w:val="21"/>
    <w:qFormat/>
    <w:rsid w:val="001579B2"/>
    <w:rPr>
      <w:i/>
      <w:iCs/>
      <w:color w:val="0F4761" w:themeColor="accent1" w:themeShade="BF"/>
    </w:rPr>
  </w:style>
  <w:style w:type="paragraph" w:styleId="IntenseQuote">
    <w:name w:val="Intense Quote"/>
    <w:basedOn w:val="Normal"/>
    <w:next w:val="Normal"/>
    <w:link w:val="IntenseQuoteChar"/>
    <w:uiPriority w:val="30"/>
    <w:qFormat/>
    <w:rsid w:val="001579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79B2"/>
    <w:rPr>
      <w:i/>
      <w:iCs/>
      <w:color w:val="0F4761" w:themeColor="accent1" w:themeShade="BF"/>
    </w:rPr>
  </w:style>
  <w:style w:type="character" w:styleId="IntenseReference">
    <w:name w:val="Intense Reference"/>
    <w:basedOn w:val="DefaultParagraphFont"/>
    <w:uiPriority w:val="32"/>
    <w:qFormat/>
    <w:rsid w:val="001579B2"/>
    <w:rPr>
      <w:b/>
      <w:bCs/>
      <w:smallCaps/>
      <w:color w:val="0F4761" w:themeColor="accent1" w:themeShade="BF"/>
      <w:spacing w:val="5"/>
    </w:rPr>
  </w:style>
  <w:style w:type="character" w:styleId="Hyperlink">
    <w:name w:val="Hyperlink"/>
    <w:basedOn w:val="DefaultParagraphFont"/>
    <w:uiPriority w:val="99"/>
    <w:unhideWhenUsed/>
    <w:rsid w:val="00936AB7"/>
    <w:rPr>
      <w:color w:val="467886" w:themeColor="hyperlink"/>
      <w:u w:val="single"/>
    </w:rPr>
  </w:style>
  <w:style w:type="character" w:styleId="UnresolvedMention">
    <w:name w:val="Unresolved Mention"/>
    <w:basedOn w:val="DefaultParagraphFont"/>
    <w:uiPriority w:val="99"/>
    <w:semiHidden/>
    <w:unhideWhenUsed/>
    <w:rsid w:val="0008195E"/>
    <w:rPr>
      <w:color w:val="605E5C"/>
      <w:shd w:val="clear" w:color="auto" w:fill="E1DFDD"/>
    </w:rPr>
  </w:style>
  <w:style w:type="paragraph" w:styleId="FootnoteText">
    <w:name w:val="footnote text"/>
    <w:basedOn w:val="Normal"/>
    <w:link w:val="FootnoteTextChar"/>
    <w:semiHidden/>
    <w:unhideWhenUsed/>
    <w:rsid w:val="00125286"/>
    <w:pPr>
      <w:spacing w:after="0" w:line="240" w:lineRule="auto"/>
    </w:pPr>
    <w:rPr>
      <w:rFonts w:ascii="Arial" w:eastAsia="Times New Roman" w:hAnsi="Arial" w:cs="Times New Roman"/>
      <w:kern w:val="0"/>
      <w:sz w:val="20"/>
      <w:szCs w:val="20"/>
      <w14:ligatures w14:val="none"/>
    </w:rPr>
  </w:style>
  <w:style w:type="character" w:customStyle="1" w:styleId="FootnoteTextChar">
    <w:name w:val="Footnote Text Char"/>
    <w:basedOn w:val="DefaultParagraphFont"/>
    <w:link w:val="FootnoteText"/>
    <w:semiHidden/>
    <w:rsid w:val="00125286"/>
    <w:rPr>
      <w:rFonts w:ascii="Arial" w:eastAsia="Times New Roman" w:hAnsi="Arial" w:cs="Times New Roman"/>
      <w:kern w:val="0"/>
      <w:sz w:val="20"/>
      <w:szCs w:val="20"/>
      <w14:ligatures w14:val="none"/>
    </w:rPr>
  </w:style>
  <w:style w:type="character" w:styleId="FootnoteReference">
    <w:name w:val="footnote reference"/>
    <w:basedOn w:val="DefaultParagraphFont"/>
    <w:semiHidden/>
    <w:unhideWhenUsed/>
    <w:rsid w:val="00125286"/>
    <w:rPr>
      <w:vertAlign w:val="superscript"/>
    </w:rPr>
  </w:style>
  <w:style w:type="character" w:styleId="Emphasis">
    <w:name w:val="Emphasis"/>
    <w:basedOn w:val="DefaultParagraphFont"/>
    <w:qFormat/>
    <w:rsid w:val="003A555A"/>
    <w:rPr>
      <w:i/>
      <w:iCs/>
    </w:rPr>
  </w:style>
  <w:style w:type="paragraph" w:styleId="NormalWeb">
    <w:name w:val="Normal (Web)"/>
    <w:basedOn w:val="Normal"/>
    <w:uiPriority w:val="99"/>
    <w:unhideWhenUsed/>
    <w:rsid w:val="005A192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4E1D2F"/>
    <w:rPr>
      <w:color w:val="96607D" w:themeColor="followedHyperlink"/>
      <w:u w:val="single"/>
    </w:rPr>
  </w:style>
  <w:style w:type="paragraph" w:styleId="Revision">
    <w:name w:val="Revision"/>
    <w:hidden/>
    <w:uiPriority w:val="99"/>
    <w:semiHidden/>
    <w:rsid w:val="004E1D2F"/>
    <w:pPr>
      <w:spacing w:after="0" w:line="240" w:lineRule="auto"/>
    </w:pPr>
  </w:style>
  <w:style w:type="character" w:styleId="CommentReference">
    <w:name w:val="annotation reference"/>
    <w:basedOn w:val="DefaultParagraphFont"/>
    <w:uiPriority w:val="99"/>
    <w:semiHidden/>
    <w:unhideWhenUsed/>
    <w:rsid w:val="005F62A9"/>
    <w:rPr>
      <w:sz w:val="16"/>
      <w:szCs w:val="16"/>
    </w:rPr>
  </w:style>
  <w:style w:type="paragraph" w:styleId="CommentText">
    <w:name w:val="annotation text"/>
    <w:basedOn w:val="Normal"/>
    <w:link w:val="CommentTextChar"/>
    <w:uiPriority w:val="99"/>
    <w:unhideWhenUsed/>
    <w:rsid w:val="005F62A9"/>
    <w:pPr>
      <w:spacing w:line="240" w:lineRule="auto"/>
    </w:pPr>
    <w:rPr>
      <w:sz w:val="20"/>
      <w:szCs w:val="20"/>
    </w:rPr>
  </w:style>
  <w:style w:type="character" w:customStyle="1" w:styleId="CommentTextChar">
    <w:name w:val="Comment Text Char"/>
    <w:basedOn w:val="DefaultParagraphFont"/>
    <w:link w:val="CommentText"/>
    <w:uiPriority w:val="99"/>
    <w:rsid w:val="005F62A9"/>
    <w:rPr>
      <w:sz w:val="20"/>
      <w:szCs w:val="20"/>
    </w:rPr>
  </w:style>
  <w:style w:type="paragraph" w:styleId="CommentSubject">
    <w:name w:val="annotation subject"/>
    <w:basedOn w:val="CommentText"/>
    <w:next w:val="CommentText"/>
    <w:link w:val="CommentSubjectChar"/>
    <w:uiPriority w:val="99"/>
    <w:semiHidden/>
    <w:unhideWhenUsed/>
    <w:rsid w:val="005F62A9"/>
    <w:rPr>
      <w:b/>
      <w:bCs/>
    </w:rPr>
  </w:style>
  <w:style w:type="character" w:customStyle="1" w:styleId="CommentSubjectChar">
    <w:name w:val="Comment Subject Char"/>
    <w:basedOn w:val="CommentTextChar"/>
    <w:link w:val="CommentSubject"/>
    <w:uiPriority w:val="99"/>
    <w:semiHidden/>
    <w:rsid w:val="005F62A9"/>
    <w:rPr>
      <w:b/>
      <w:bCs/>
      <w:sz w:val="20"/>
      <w:szCs w:val="20"/>
    </w:rPr>
  </w:style>
  <w:style w:type="character" w:customStyle="1" w:styleId="cf01">
    <w:name w:val="cf01"/>
    <w:basedOn w:val="DefaultParagraphFont"/>
    <w:rsid w:val="00CC31CB"/>
    <w:rPr>
      <w:rFonts w:ascii="Segoe UI" w:hAnsi="Segoe UI" w:cs="Segoe UI" w:hint="default"/>
      <w:sz w:val="18"/>
      <w:szCs w:val="18"/>
    </w:rPr>
  </w:style>
  <w:style w:type="character" w:customStyle="1" w:styleId="normaltextrun">
    <w:name w:val="normaltextrun"/>
    <w:basedOn w:val="DefaultParagraphFont"/>
    <w:rsid w:val="004C32B2"/>
  </w:style>
  <w:style w:type="paragraph" w:styleId="EndnoteText">
    <w:name w:val="endnote text"/>
    <w:basedOn w:val="Normal"/>
    <w:link w:val="EndnoteTextChar"/>
    <w:uiPriority w:val="99"/>
    <w:semiHidden/>
    <w:unhideWhenUsed/>
    <w:rsid w:val="003B3C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CC8"/>
    <w:rPr>
      <w:sz w:val="20"/>
      <w:szCs w:val="20"/>
    </w:rPr>
  </w:style>
  <w:style w:type="character" w:styleId="EndnoteReference">
    <w:name w:val="endnote reference"/>
    <w:basedOn w:val="DefaultParagraphFont"/>
    <w:uiPriority w:val="99"/>
    <w:semiHidden/>
    <w:unhideWhenUsed/>
    <w:rsid w:val="003B3CC8"/>
    <w:rPr>
      <w:vertAlign w:val="superscript"/>
    </w:rPr>
  </w:style>
  <w:style w:type="paragraph" w:styleId="Header">
    <w:name w:val="header"/>
    <w:basedOn w:val="Normal"/>
    <w:link w:val="HeaderChar"/>
    <w:uiPriority w:val="99"/>
    <w:unhideWhenUsed/>
    <w:rsid w:val="0016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C3"/>
  </w:style>
  <w:style w:type="paragraph" w:styleId="Footer">
    <w:name w:val="footer"/>
    <w:basedOn w:val="Normal"/>
    <w:link w:val="FooterChar"/>
    <w:uiPriority w:val="99"/>
    <w:unhideWhenUsed/>
    <w:rsid w:val="0016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856">
      <w:bodyDiv w:val="1"/>
      <w:marLeft w:val="0"/>
      <w:marRight w:val="0"/>
      <w:marTop w:val="0"/>
      <w:marBottom w:val="0"/>
      <w:divBdr>
        <w:top w:val="none" w:sz="0" w:space="0" w:color="auto"/>
        <w:left w:val="none" w:sz="0" w:space="0" w:color="auto"/>
        <w:bottom w:val="none" w:sz="0" w:space="0" w:color="auto"/>
        <w:right w:val="none" w:sz="0" w:space="0" w:color="auto"/>
      </w:divBdr>
      <w:divsChild>
        <w:div w:id="1720399445">
          <w:marLeft w:val="374"/>
          <w:marRight w:val="0"/>
          <w:marTop w:val="200"/>
          <w:marBottom w:val="0"/>
          <w:divBdr>
            <w:top w:val="none" w:sz="0" w:space="0" w:color="auto"/>
            <w:left w:val="none" w:sz="0" w:space="0" w:color="auto"/>
            <w:bottom w:val="none" w:sz="0" w:space="0" w:color="auto"/>
            <w:right w:val="none" w:sz="0" w:space="0" w:color="auto"/>
          </w:divBdr>
        </w:div>
      </w:divsChild>
    </w:div>
    <w:div w:id="163518763">
      <w:bodyDiv w:val="1"/>
      <w:marLeft w:val="0"/>
      <w:marRight w:val="0"/>
      <w:marTop w:val="0"/>
      <w:marBottom w:val="0"/>
      <w:divBdr>
        <w:top w:val="none" w:sz="0" w:space="0" w:color="auto"/>
        <w:left w:val="none" w:sz="0" w:space="0" w:color="auto"/>
        <w:bottom w:val="none" w:sz="0" w:space="0" w:color="auto"/>
        <w:right w:val="none" w:sz="0" w:space="0" w:color="auto"/>
      </w:divBdr>
    </w:div>
    <w:div w:id="351881001">
      <w:bodyDiv w:val="1"/>
      <w:marLeft w:val="0"/>
      <w:marRight w:val="0"/>
      <w:marTop w:val="0"/>
      <w:marBottom w:val="0"/>
      <w:divBdr>
        <w:top w:val="none" w:sz="0" w:space="0" w:color="auto"/>
        <w:left w:val="none" w:sz="0" w:space="0" w:color="auto"/>
        <w:bottom w:val="none" w:sz="0" w:space="0" w:color="auto"/>
        <w:right w:val="none" w:sz="0" w:space="0" w:color="auto"/>
      </w:divBdr>
    </w:div>
    <w:div w:id="537741795">
      <w:bodyDiv w:val="1"/>
      <w:marLeft w:val="0"/>
      <w:marRight w:val="0"/>
      <w:marTop w:val="0"/>
      <w:marBottom w:val="0"/>
      <w:divBdr>
        <w:top w:val="none" w:sz="0" w:space="0" w:color="auto"/>
        <w:left w:val="none" w:sz="0" w:space="0" w:color="auto"/>
        <w:bottom w:val="none" w:sz="0" w:space="0" w:color="auto"/>
        <w:right w:val="none" w:sz="0" w:space="0" w:color="auto"/>
      </w:divBdr>
    </w:div>
    <w:div w:id="840193237">
      <w:bodyDiv w:val="1"/>
      <w:marLeft w:val="0"/>
      <w:marRight w:val="0"/>
      <w:marTop w:val="0"/>
      <w:marBottom w:val="0"/>
      <w:divBdr>
        <w:top w:val="none" w:sz="0" w:space="0" w:color="auto"/>
        <w:left w:val="none" w:sz="0" w:space="0" w:color="auto"/>
        <w:bottom w:val="none" w:sz="0" w:space="0" w:color="auto"/>
        <w:right w:val="none" w:sz="0" w:space="0" w:color="auto"/>
      </w:divBdr>
    </w:div>
    <w:div w:id="1026753087">
      <w:bodyDiv w:val="1"/>
      <w:marLeft w:val="0"/>
      <w:marRight w:val="0"/>
      <w:marTop w:val="0"/>
      <w:marBottom w:val="0"/>
      <w:divBdr>
        <w:top w:val="none" w:sz="0" w:space="0" w:color="auto"/>
        <w:left w:val="none" w:sz="0" w:space="0" w:color="auto"/>
        <w:bottom w:val="none" w:sz="0" w:space="0" w:color="auto"/>
        <w:right w:val="none" w:sz="0" w:space="0" w:color="auto"/>
      </w:divBdr>
      <w:divsChild>
        <w:div w:id="1986817156">
          <w:marLeft w:val="374"/>
          <w:marRight w:val="0"/>
          <w:marTop w:val="200"/>
          <w:marBottom w:val="0"/>
          <w:divBdr>
            <w:top w:val="none" w:sz="0" w:space="0" w:color="auto"/>
            <w:left w:val="none" w:sz="0" w:space="0" w:color="auto"/>
            <w:bottom w:val="none" w:sz="0" w:space="0" w:color="auto"/>
            <w:right w:val="none" w:sz="0" w:space="0" w:color="auto"/>
          </w:divBdr>
        </w:div>
      </w:divsChild>
    </w:div>
    <w:div w:id="1454207694">
      <w:bodyDiv w:val="1"/>
      <w:marLeft w:val="0"/>
      <w:marRight w:val="0"/>
      <w:marTop w:val="0"/>
      <w:marBottom w:val="0"/>
      <w:divBdr>
        <w:top w:val="none" w:sz="0" w:space="0" w:color="auto"/>
        <w:left w:val="none" w:sz="0" w:space="0" w:color="auto"/>
        <w:bottom w:val="none" w:sz="0" w:space="0" w:color="auto"/>
        <w:right w:val="none" w:sz="0" w:space="0" w:color="auto"/>
      </w:divBdr>
    </w:div>
    <w:div w:id="1475179881">
      <w:bodyDiv w:val="1"/>
      <w:marLeft w:val="0"/>
      <w:marRight w:val="0"/>
      <w:marTop w:val="0"/>
      <w:marBottom w:val="0"/>
      <w:divBdr>
        <w:top w:val="none" w:sz="0" w:space="0" w:color="auto"/>
        <w:left w:val="none" w:sz="0" w:space="0" w:color="auto"/>
        <w:bottom w:val="none" w:sz="0" w:space="0" w:color="auto"/>
        <w:right w:val="none" w:sz="0" w:space="0" w:color="auto"/>
      </w:divBdr>
    </w:div>
    <w:div w:id="1923104676">
      <w:bodyDiv w:val="1"/>
      <w:marLeft w:val="0"/>
      <w:marRight w:val="0"/>
      <w:marTop w:val="0"/>
      <w:marBottom w:val="0"/>
      <w:divBdr>
        <w:top w:val="none" w:sz="0" w:space="0" w:color="auto"/>
        <w:left w:val="none" w:sz="0" w:space="0" w:color="auto"/>
        <w:bottom w:val="none" w:sz="0" w:space="0" w:color="auto"/>
        <w:right w:val="none" w:sz="0" w:space="0" w:color="auto"/>
      </w:divBdr>
    </w:div>
    <w:div w:id="19825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who.int/publications/i/item/9789241565639" TargetMode="External"/><Relationship Id="rId3" Type="http://schemas.openxmlformats.org/officeDocument/2006/relationships/hyperlink" Target="https://www.samhsa.gov/data/release/2022-national-survey-drug-use-and-health-nsduh-releases" TargetMode="External"/><Relationship Id="rId7" Type="http://schemas.openxmlformats.org/officeDocument/2006/relationships/hyperlink" Target="https://crashstats.nhtsa.dot.gov/Api/Public/ViewPublication/813435" TargetMode="External"/><Relationship Id="rId2" Type="http://schemas.openxmlformats.org/officeDocument/2006/relationships/hyperlink" Target="https://www.cspinet.org/press-release/consumer-groups-obtain-ttb-commitment-issue-rulemakings-mandatory-alcohol-labeling" TargetMode="External"/><Relationship Id="rId1" Type="http://schemas.openxmlformats.org/officeDocument/2006/relationships/hyperlink" Target="https://www.cspinet.org/resource/ttb-letter-re-alcohol-facts-label-petition" TargetMode="External"/><Relationship Id="rId6" Type="http://schemas.openxmlformats.org/officeDocument/2006/relationships/hyperlink" Target="https://doi.org/10.2337/dc23-S006" TargetMode="External"/><Relationship Id="rId5" Type="http://schemas.openxmlformats.org/officeDocument/2006/relationships/hyperlink" Target="https://www.niaaa.nih.gov/news-events/research-update/alcohol-related-deaths-which-increased-during-first-year-covid-19-pandemic-continued-rise-2021" TargetMode="External"/><Relationship Id="rId4" Type="http://schemas.openxmlformats.org/officeDocument/2006/relationships/hyperlink" Target="https://www.samhsa.gov/data/release/2022-national-survey-drug-use-and-health-nsduh-releases" TargetMode="External"/><Relationship Id="rId9" Type="http://schemas.openxmlformats.org/officeDocument/2006/relationships/hyperlink" Target="https://doi.org/10.1111/ajgw.121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3508bc-5be2-40a0-a51f-721d0b2acdc6" xsi:nil="true"/>
    <lcf76f155ced4ddcb4097134ff3c332f xmlns="73c60ceb-7c3d-420d-afad-87d2944a594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3C9AF30D7DE3478D34DC989CFDF1A0" ma:contentTypeVersion="15" ma:contentTypeDescription="Create a new document." ma:contentTypeScope="" ma:versionID="847a85d31dcfd637f68275b3abddef5c">
  <xsd:schema xmlns:xsd="http://www.w3.org/2001/XMLSchema" xmlns:xs="http://www.w3.org/2001/XMLSchema" xmlns:p="http://schemas.microsoft.com/office/2006/metadata/properties" xmlns:ns2="73c60ceb-7c3d-420d-afad-87d2944a5948" xmlns:ns3="993508bc-5be2-40a0-a51f-721d0b2acdc6" targetNamespace="http://schemas.microsoft.com/office/2006/metadata/properties" ma:root="true" ma:fieldsID="be79aea76450f5c25689a62df4c2a33d" ns2:_="" ns3:_="">
    <xsd:import namespace="73c60ceb-7c3d-420d-afad-87d2944a5948"/>
    <xsd:import namespace="993508bc-5be2-40a0-a51f-721d0b2ac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60ceb-7c3d-420d-afad-87d2944a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1749cd3-1499-4b99-8070-8f34da31343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508bc-5be2-40a0-a51f-721d0b2acd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42b2b48-5588-416a-86e4-c64ad3028dc9}" ma:internalName="TaxCatchAll" ma:showField="CatchAllData" ma:web="993508bc-5be2-40a0-a51f-721d0b2ac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CC0BD-8275-4A2C-9DEA-83EA3B08785F}">
  <ds:schemaRefs>
    <ds:schemaRef ds:uri="http://schemas.microsoft.com/office/2006/metadata/properties"/>
    <ds:schemaRef ds:uri="http://schemas.microsoft.com/office/infopath/2007/PartnerControls"/>
    <ds:schemaRef ds:uri="993508bc-5be2-40a0-a51f-721d0b2acdc6"/>
    <ds:schemaRef ds:uri="73c60ceb-7c3d-420d-afad-87d2944a5948"/>
  </ds:schemaRefs>
</ds:datastoreItem>
</file>

<file path=customXml/itemProps2.xml><?xml version="1.0" encoding="utf-8"?>
<ds:datastoreItem xmlns:ds="http://schemas.openxmlformats.org/officeDocument/2006/customXml" ds:itemID="{DEF5E3C5-1111-4283-90EE-0084A60CC7B6}">
  <ds:schemaRefs>
    <ds:schemaRef ds:uri="http://schemas.openxmlformats.org/officeDocument/2006/bibliography"/>
  </ds:schemaRefs>
</ds:datastoreItem>
</file>

<file path=customXml/itemProps3.xml><?xml version="1.0" encoding="utf-8"?>
<ds:datastoreItem xmlns:ds="http://schemas.openxmlformats.org/officeDocument/2006/customXml" ds:itemID="{A08ED576-5F40-4F34-A723-EA7CA5EC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60ceb-7c3d-420d-afad-87d2944a5948"/>
    <ds:schemaRef ds:uri="993508bc-5be2-40a0-a51f-721d0b2a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B8FB2-7418-439C-9D6C-3CF501B20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2</cp:revision>
  <dcterms:created xsi:type="dcterms:W3CDTF">2024-02-23T22:38:00Z</dcterms:created>
  <dcterms:modified xsi:type="dcterms:W3CDTF">2024-02-23T22:38:00Z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0x0101005B3C9AF30D7DE3478D34DC989CFDF1A0</vt:lpwstr>
  </property>
  <property fmtid="{D5CDD505-2E9C-101B-9397-08002B2CF9AE}" pid="3" name="MediaServiceImageTags">
    <vt:lpwstr/>
  </property>
</Properties>
</file>